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3"/>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rPr>
          <w:color w:val="auto"/>
          <w:highlight w:val="none"/>
        </w:rPr>
      </w:r>
    </w:p>
    <w:p>
      <w:pPr>
        <w:pStyle w:val="993"/>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rPr>
          <w:color w:val="auto"/>
          <w:highlight w:val="none"/>
        </w:rPr>
      </w:r>
    </w:p>
    <w:p>
      <w:pPr>
        <w:pStyle w:val="993"/>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rPr>
          <w:color w:val="auto"/>
          <w:highlight w:val="none"/>
        </w:rPr>
      </w:r>
    </w:p>
    <w:p>
      <w:pPr>
        <w:pStyle w:val="99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9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93"/>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05"/>
        <w:ind w:firstLine="192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JSZC-320200-JZCG-G2025-0188</w:t>
      </w:r>
      <w:r>
        <w:rPr>
          <w:rFonts w:ascii="黑体" w:hAnsi="华文中宋" w:eastAsia="黑体"/>
          <w:bCs/>
          <w:color w:val="auto"/>
          <w:sz w:val="32"/>
          <w:szCs w:val="32"/>
          <w:highlight w:val="none"/>
        </w:rPr>
      </w:r>
      <w:r>
        <w:rPr>
          <w:color w:val="auto"/>
          <w:highlight w:val="none"/>
        </w:rPr>
      </w:r>
    </w:p>
    <w:p>
      <w:pPr>
        <w:pStyle w:val="905"/>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rPr>
        <w:t xml:space="preserve">无锡市公共机构节能信息化“一张网”监管平台建设项目</w:t>
      </w:r>
      <w:r>
        <w:rPr>
          <w:rFonts w:hint="eastAsia" w:ascii="黑体" w:hAnsi="华文中宋" w:eastAsia="黑体"/>
          <w:bCs/>
          <w:color w:val="auto"/>
          <w:sz w:val="32"/>
          <w:szCs w:val="32"/>
          <w:highlight w:val="none"/>
        </w:rPr>
      </w:r>
      <w:r>
        <w:rPr>
          <w:color w:val="auto"/>
          <w:highlight w:val="none"/>
        </w:rPr>
      </w:r>
    </w:p>
    <w:p>
      <w:pPr>
        <w:pStyle w:val="905"/>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rPr>
        <w:t xml:space="preserve">无锡市机关事务管理局</w:t>
      </w:r>
      <w:r>
        <w:rPr>
          <w:rFonts w:hint="eastAsia" w:ascii="黑体" w:hAnsi="华文中宋" w:eastAsia="黑体"/>
          <w:bCs/>
          <w:color w:val="auto"/>
          <w:sz w:val="32"/>
          <w:szCs w:val="32"/>
          <w:highlight w:val="none"/>
        </w:rPr>
      </w:r>
      <w:r>
        <w:rPr>
          <w:color w:val="auto"/>
          <w:highlight w:val="none"/>
        </w:rPr>
      </w:r>
    </w:p>
    <w:p>
      <w:pPr>
        <w:pStyle w:val="905"/>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rPr>
          <w:color w:val="auto"/>
          <w:highlight w:val="none"/>
        </w:rPr>
      </w:r>
    </w:p>
    <w:p>
      <w:pPr>
        <w:pStyle w:val="99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99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993"/>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993"/>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w:t>
      </w:r>
      <w:r>
        <w:rPr>
          <w:rFonts w:hint="eastAsia" w:ascii="宋体" w:hAnsi="宋体"/>
          <w:color w:val="auto"/>
          <w:sz w:val="32"/>
          <w:szCs w:val="32"/>
          <w:highlight w:val="none"/>
          <w:shd w:val="clear" w:color="ffffff" w:fill="d9d9d9"/>
        </w:rPr>
      </w:r>
      <w:r>
        <w:rPr>
          <w:color w:val="auto"/>
          <w:highlight w:val="none"/>
        </w:rPr>
      </w:r>
    </w:p>
    <w:p>
      <w:pPr>
        <w:pStyle w:val="99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rPr>
        <w:t xml:space="preserve">五</w:t>
      </w:r>
      <w:r>
        <w:rPr>
          <w:rFonts w:hint="eastAsia" w:ascii="黑体" w:hAnsi="华文中宋" w:eastAsia="黑体"/>
          <w:bCs/>
          <w:color w:val="auto"/>
          <w:sz w:val="32"/>
          <w:szCs w:val="32"/>
          <w:highlight w:val="none"/>
        </w:rPr>
        <w:t xml:space="preserve">年十二月</w:t>
      </w:r>
      <w:r>
        <w:rPr>
          <w:rFonts w:ascii="黑体" w:hAnsi="华文中宋" w:eastAsia="黑体"/>
          <w:bCs/>
          <w:color w:val="auto"/>
          <w:sz w:val="32"/>
          <w:szCs w:val="32"/>
          <w:highlight w:val="none"/>
        </w:rPr>
      </w:r>
      <w:r>
        <w:rPr>
          <w:color w:val="auto"/>
          <w:highlight w:val="none"/>
        </w:rPr>
      </w:r>
    </w:p>
    <w:p>
      <w:pPr>
        <w:pStyle w:val="993"/>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523127445"/>
      <w:r>
        <w:rPr>
          <w:color w:val="auto"/>
          <w:highlight w:val="none"/>
        </w:rPr>
      </w:r>
      <w:bookmarkStart w:id="4" w:name="_Toc20823272"/>
      <w:r>
        <w:rPr>
          <w:color w:val="auto"/>
          <w:highlight w:val="none"/>
        </w:rPr>
      </w:r>
      <w:bookmarkStart w:id="5" w:name="_Toc16938516"/>
      <w:r>
        <w:rPr>
          <w:rFonts w:hint="eastAsia" w:ascii="黑体" w:hAnsi="黑体" w:eastAsia="黑体"/>
          <w:color w:val="auto"/>
          <w:sz w:val="36"/>
          <w:szCs w:val="36"/>
          <w:highlight w:val="none"/>
        </w:rPr>
        <w:t xml:space="preserve">总  目  录</w:t>
      </w:r>
      <w:r>
        <w:rPr>
          <w:color w:val="auto"/>
          <w:highlight w:val="none"/>
        </w:rPr>
      </w:r>
    </w:p>
    <w:p>
      <w:pPr>
        <w:pStyle w:val="905"/>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rPr>
          <w:color w:val="auto"/>
          <w:highlight w:val="none"/>
        </w:rPr>
      </w:r>
    </w:p>
    <w:p>
      <w:pPr>
        <w:pStyle w:val="905"/>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color w:val="auto"/>
          <w:highlight w:val="none"/>
        </w:rPr>
      </w:r>
    </w:p>
    <w:p>
      <w:pPr>
        <w:pStyle w:val="905"/>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color w:val="auto"/>
          <w:highlight w:val="none"/>
        </w:rPr>
      </w:r>
    </w:p>
    <w:p>
      <w:pPr>
        <w:pStyle w:val="905"/>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color w:val="auto"/>
          <w:highlight w:val="none"/>
        </w:rPr>
      </w:r>
    </w:p>
    <w:p>
      <w:pPr>
        <w:pStyle w:val="905"/>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color w:val="auto"/>
          <w:highlight w:val="none"/>
        </w:rPr>
      </w:r>
    </w:p>
    <w:p>
      <w:pPr>
        <w:pStyle w:val="905"/>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color w:val="auto"/>
          <w:highlight w:val="none"/>
        </w:rPr>
      </w:r>
    </w:p>
    <w:p>
      <w:pPr>
        <w:pStyle w:val="905"/>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color w:val="auto"/>
          <w:highlight w:val="none"/>
        </w:rPr>
      </w:r>
    </w:p>
    <w:p>
      <w:pPr>
        <w:pStyle w:val="905"/>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r>
        <w:rPr>
          <w:color w:val="auto"/>
          <w:highlight w:val="none"/>
        </w:rPr>
      </w:r>
    </w:p>
    <w:p>
      <w:pPr>
        <w:pStyle w:val="905"/>
        <w:ind w:firstLine="480"/>
        <w:spacing w:line="500" w:lineRule="exact"/>
        <w:rPr>
          <w:rFonts w:ascii="宋体" w:hAnsi="宋体"/>
          <w:color w:val="auto"/>
          <w:sz w:val="24"/>
          <w:szCs w:val="24"/>
          <w:highlight w:val="none"/>
          <w:shd w:val="clear" w:color="ffffff" w:fill="d9d9d9"/>
        </w:rPr>
      </w:pPr>
      <w:r>
        <w:rPr>
          <w:color w:val="auto"/>
          <w:highlight w:val="none"/>
        </w:rPr>
      </w:r>
      <w:bookmarkEnd w:id="0"/>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无锡市机关事务管理局</w:t>
      </w:r>
      <w:r>
        <w:rPr>
          <w:rFonts w:hint="eastAsia" w:ascii="宋体" w:hAnsi="宋体"/>
          <w:color w:val="auto"/>
          <w:sz w:val="24"/>
          <w:szCs w:val="24"/>
          <w:highlight w:val="none"/>
        </w:rPr>
        <w:t xml:space="preserve">的委托，无锡市公共资源交易中心就</w:t>
      </w:r>
      <w:r>
        <w:rPr>
          <w:rFonts w:hint="eastAsia" w:ascii="宋体" w:hAnsi="宋体"/>
          <w:color w:val="auto"/>
          <w:sz w:val="24"/>
          <w:szCs w:val="24"/>
          <w:highlight w:val="none"/>
        </w:rPr>
        <w:t xml:space="preserve">无锡市公共机构节能信息化“一张网”监管平台建设项目</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JSZC-320200-JZCG-G2025-0188</w:t>
      </w:r>
      <w:r>
        <w:rPr>
          <w:rFonts w:hint="eastAsia" w:ascii="宋体" w:hAnsi="宋体"/>
          <w:color w:val="auto"/>
          <w:sz w:val="24"/>
          <w:szCs w:val="24"/>
          <w:highlight w:val="none"/>
        </w:rPr>
        <w:t xml:space="preserve">）进行公开招标采购，欢迎符合条件的供应商投标。</w:t>
      </w:r>
      <w:r>
        <w:rPr>
          <w:rFonts w:ascii="宋体" w:hAnsi="宋体"/>
          <w:color w:val="auto"/>
          <w:sz w:val="24"/>
          <w:szCs w:val="24"/>
          <w:highlight w:val="none"/>
          <w:shd w:val="clear" w:color="ffffff" w:fill="d9d9d9"/>
        </w:rPr>
      </w:r>
      <w:r>
        <w:rPr>
          <w:color w:val="auto"/>
          <w:highlight w:val="none"/>
        </w:rPr>
      </w:r>
    </w:p>
    <w:p>
      <w:pPr>
        <w:pStyle w:val="905"/>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ascii="宋体" w:hAnsi="宋体"/>
          <w:color w:val="auto"/>
          <w:sz w:val="24"/>
          <w:szCs w:val="24"/>
          <w:highlight w:val="none"/>
          <w:shd w:val="clear" w:color="ffffff" w:fill="d9d9d9"/>
        </w:rPr>
      </w:r>
      <w:r>
        <w:rPr>
          <w:color w:val="auto"/>
          <w:highlight w:val="none"/>
        </w:rPr>
      </w:r>
    </w:p>
    <w:p>
      <w:pPr>
        <w:pStyle w:val="905"/>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无锡市公共机构节能信息化“一张网”监管平台建设项目</w:t>
      </w:r>
      <w:r>
        <w:rPr>
          <w:rFonts w:hint="eastAsia" w:ascii="宋体" w:hAnsi="宋体"/>
          <w:color w:val="auto"/>
          <w:sz w:val="24"/>
          <w:szCs w:val="24"/>
          <w:highlight w:val="none"/>
        </w:rPr>
        <w:t xml:space="preserve">采购项目的潜在投标人</w:t>
      </w:r>
      <w:r>
        <w:rPr>
          <w:rFonts w:hint="eastAsia" w:ascii="宋体" w:hAnsi="宋体"/>
          <w:color w:val="auto"/>
          <w:sz w:val="24"/>
          <w:szCs w:val="24"/>
          <w:highlight w:val="none"/>
        </w:rPr>
        <w:t xml:space="preserve">应在</w:t>
      </w:r>
      <w:r>
        <w:rPr>
          <w:rFonts w:hint="eastAsia" w:ascii="宋体" w:hAnsi="宋体"/>
          <w:color w:val="auto"/>
          <w:sz w:val="24"/>
          <w:szCs w:val="24"/>
          <w:highlight w:val="none"/>
        </w:rPr>
        <w:t xml:space="preserve">“江苏政府采购网”自行浏览招标文件，如有投标意向须在本招标文件有效获取期内通过</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w:t>
      </w:r>
      <w:r>
        <w:rPr>
          <w:rFonts w:hint="eastAsia" w:ascii="宋体" w:hAnsi="宋体"/>
          <w:color w:val="auto"/>
          <w:sz w:val="24"/>
          <w:szCs w:val="24"/>
          <w:highlight w:val="none"/>
        </w:rPr>
        <w:t xml:space="preserve">依法</w:t>
      </w:r>
      <w:r>
        <w:rPr>
          <w:rFonts w:hint="eastAsia" w:ascii="宋体" w:hAnsi="宋体"/>
          <w:color w:val="auto"/>
          <w:sz w:val="24"/>
          <w:szCs w:val="24"/>
          <w:highlight w:val="none"/>
        </w:rPr>
        <w:t xml:space="preserve">获取招标文件，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rPr>
        <w:t xml:space="preserve">2026</w:t>
      </w:r>
      <w:r>
        <w:rPr>
          <w:rFonts w:hint="eastAsia" w:ascii="宋体" w:hAnsi="宋体"/>
          <w:color w:val="auto"/>
          <w:sz w:val="24"/>
          <w:szCs w:val="24"/>
          <w:highlight w:val="none"/>
        </w:rPr>
        <w:t xml:space="preserve">年</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月</w:t>
      </w:r>
      <w:r>
        <w:rPr>
          <w:rFonts w:hint="eastAsia" w:ascii="宋体" w:hAnsi="宋体"/>
          <w:color w:val="auto"/>
          <w:sz w:val="24"/>
          <w:szCs w:val="24"/>
          <w:highlight w:val="none"/>
        </w:rPr>
        <w:t xml:space="preserve">13</w:t>
      </w:r>
      <w:r>
        <w:rPr>
          <w:rFonts w:hint="eastAsia" w:ascii="宋体" w:hAnsi="宋体"/>
          <w:color w:val="auto"/>
          <w:sz w:val="24"/>
          <w:szCs w:val="24"/>
          <w:highlight w:val="none"/>
        </w:rPr>
        <w:t xml:space="preserve">日0</w:t>
      </w:r>
      <w:r>
        <w:rPr>
          <w:rFonts w:hint="eastAsia" w:ascii="宋体" w:hAnsi="宋体"/>
          <w:color w:val="auto"/>
          <w:sz w:val="24"/>
          <w:szCs w:val="24"/>
          <w:highlight w:val="none"/>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rFonts w:ascii="宋体" w:hAnsi="宋体"/>
          <w:color w:val="auto"/>
          <w:sz w:val="24"/>
          <w:szCs w:val="24"/>
          <w:highlight w:val="none"/>
          <w:shd w:val="clear" w:color="ffffff" w:fill="d9d9d9"/>
        </w:rPr>
      </w:r>
      <w:r>
        <w:rPr>
          <w:color w:val="auto"/>
          <w:highlight w:val="none"/>
        </w:rPr>
      </w:r>
    </w:p>
    <w:p>
      <w:pPr>
        <w:pStyle w:val="908"/>
        <w:ind w:firstLine="452"/>
        <w:keepLines w:val="0"/>
        <w:keepNext w:val="0"/>
        <w:spacing w:before="0" w:after="0" w:line="500" w:lineRule="exact"/>
        <w:rPr>
          <w:color w:val="auto"/>
          <w:sz w:val="30"/>
          <w:szCs w:val="30"/>
          <w:highlight w:val="none"/>
        </w:rPr>
      </w:pPr>
      <w:r>
        <w:rPr>
          <w:color w:val="auto"/>
          <w:highlight w:val="none"/>
        </w:rPr>
      </w:r>
      <w:bookmarkStart w:id="6" w:name="_Toc35393790"/>
      <w:r>
        <w:rPr>
          <w:color w:val="auto"/>
          <w:highlight w:val="none"/>
        </w:rPr>
      </w:r>
      <w:bookmarkStart w:id="7" w:name="_Toc38985263"/>
      <w:r>
        <w:rPr>
          <w:color w:val="auto"/>
          <w:highlight w:val="none"/>
        </w:rPr>
      </w:r>
      <w:bookmarkStart w:id="8" w:name="_Toc28359079"/>
      <w:r>
        <w:rPr>
          <w:color w:val="auto"/>
          <w:highlight w:val="none"/>
        </w:rPr>
      </w:r>
      <w:bookmarkStart w:id="9" w:name="_Toc28359002"/>
      <w:r>
        <w:rPr>
          <w:color w:val="auto"/>
          <w:highlight w:val="none"/>
        </w:rPr>
      </w:r>
      <w:bookmarkStart w:id="10" w:name="_Toc35393621"/>
      <w:r>
        <w:rPr>
          <w:color w:val="auto"/>
          <w:highlight w:val="none"/>
        </w:rPr>
      </w:r>
      <w:bookmarkStart w:id="11" w:name="_Hlk24379207"/>
      <w:r>
        <w:rPr>
          <w:rFonts w:hint="eastAsia"/>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sz w:val="30"/>
          <w:szCs w:val="30"/>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JSZC-320200-JZCG-G2025-0188</w:t>
      </w:r>
      <w:r>
        <w:rPr>
          <w:rFonts w:ascii="宋体" w:hAnsi="宋体"/>
          <w:color w:val="auto"/>
          <w:sz w:val="24"/>
          <w:szCs w:val="24"/>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无锡市公共机构节能信息化“一张网”监管平台建设项目</w:t>
      </w:r>
      <w:r>
        <w:rPr>
          <w:rFonts w:ascii="宋体" w:hAnsi="宋体"/>
          <w:color w:val="auto"/>
          <w:sz w:val="24"/>
          <w:szCs w:val="24"/>
          <w:highlight w:val="none"/>
        </w:rPr>
      </w:r>
      <w:r>
        <w:rPr>
          <w:color w:val="auto"/>
          <w:highlight w:val="none"/>
        </w:rPr>
      </w:r>
    </w:p>
    <w:p>
      <w:pPr>
        <w:pStyle w:val="905"/>
        <w:ind w:firstLine="480"/>
        <w:spacing w:line="500" w:lineRule="exact"/>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3.项目预算金额：</w:t>
      </w:r>
      <w:r>
        <w:rPr>
          <w:rFonts w:ascii="宋体" w:hAnsi="宋体"/>
          <w:color w:val="auto"/>
          <w:sz w:val="24"/>
          <w:szCs w:val="24"/>
          <w:highlight w:val="none"/>
        </w:rPr>
        <w:t xml:space="preserve">239.324</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ascii="宋体" w:hAnsi="宋体"/>
          <w:color w:val="auto"/>
          <w:sz w:val="24"/>
          <w:szCs w:val="24"/>
          <w:highlight w:val="none"/>
        </w:rPr>
        <w:t xml:space="preserve">239.324</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hint="eastAsia" w:ascii="宋体" w:hAnsi="宋体" w:cs="宋体"/>
          <w:color w:val="auto"/>
          <w:sz w:val="24"/>
          <w:szCs w:val="24"/>
          <w:highlight w:val="none"/>
        </w:rPr>
        <w:t xml:space="preserve">详见招标文件第四章《采购需求》</w:t>
      </w:r>
      <w:r>
        <w:rPr>
          <w:rFonts w:hint="eastAsia"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rPr>
          <w:color w:val="auto"/>
          <w:highlight w:val="none"/>
        </w:rPr>
      </w:r>
    </w:p>
    <w:p>
      <w:pPr>
        <w:pStyle w:val="905"/>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ascii="宋体" w:hAnsi="宋体" w:cs="宋体"/>
          <w:color w:val="auto"/>
          <w:sz w:val="24"/>
          <w:szCs w:val="24"/>
          <w:highlight w:val="none"/>
        </w:rPr>
      </w:r>
      <w:r>
        <w:rPr>
          <w:color w:val="auto"/>
          <w:highlight w:val="none"/>
        </w:rPr>
      </w:r>
    </w:p>
    <w:p>
      <w:pPr>
        <w:pStyle w:val="908"/>
        <w:ind w:firstLine="452"/>
        <w:keepLines w:val="0"/>
        <w:keepNext w:val="0"/>
        <w:spacing w:before="0" w:after="0" w:line="500" w:lineRule="exact"/>
        <w:rPr>
          <w:color w:val="auto"/>
          <w:sz w:val="30"/>
          <w:szCs w:val="30"/>
          <w:highlight w:val="none"/>
        </w:rPr>
      </w:pPr>
      <w:r>
        <w:rPr>
          <w:color w:val="auto"/>
          <w:highlight w:val="none"/>
        </w:rPr>
      </w:r>
      <w:bookmarkStart w:id="12" w:name="_Toc38985264"/>
      <w:r>
        <w:rPr>
          <w:color w:val="auto"/>
          <w:highlight w:val="none"/>
        </w:rPr>
      </w:r>
      <w:bookmarkStart w:id="13" w:name="_Toc35393791"/>
      <w:r>
        <w:rPr>
          <w:color w:val="auto"/>
          <w:highlight w:val="none"/>
        </w:rPr>
      </w:r>
      <w:bookmarkStart w:id="14" w:name="_Toc28359080"/>
      <w:r>
        <w:rPr>
          <w:color w:val="auto"/>
          <w:highlight w:val="none"/>
        </w:rPr>
      </w:r>
      <w:bookmarkStart w:id="15" w:name="_Toc28359003"/>
      <w:r>
        <w:rPr>
          <w:color w:val="auto"/>
          <w:highlight w:val="none"/>
        </w:rPr>
      </w:r>
      <w:bookmarkStart w:id="16" w:name="_Toc35393622"/>
      <w:r>
        <w:rPr>
          <w:rFonts w:hint="eastAsia"/>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sz w:val="30"/>
          <w:szCs w:val="30"/>
          <w:highlight w:val="none"/>
        </w:rPr>
      </w:r>
      <w:r>
        <w:rPr>
          <w:color w:val="auto"/>
          <w:highlight w:val="none"/>
        </w:rPr>
      </w:r>
    </w:p>
    <w:p>
      <w:pPr>
        <w:pStyle w:val="905"/>
        <w:ind w:firstLine="480"/>
        <w:spacing w:line="500" w:lineRule="exact"/>
        <w:rPr>
          <w:rFonts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28359081"/>
      <w:r>
        <w:rPr>
          <w:color w:val="auto"/>
          <w:highlight w:val="none"/>
        </w:rPr>
      </w:r>
      <w:bookmarkStart w:id="20" w:name="_Toc38985265"/>
      <w:r>
        <w:rPr>
          <w:color w:val="auto"/>
          <w:highlight w:val="none"/>
        </w:rPr>
      </w:r>
      <w:bookmarkStart w:id="21" w:name="_Toc35393623"/>
      <w:r>
        <w:rPr>
          <w:rFonts w:hint="eastAsia" w:ascii="宋体" w:hAnsi="宋体"/>
          <w:color w:val="auto"/>
          <w:sz w:val="24"/>
          <w:szCs w:val="24"/>
          <w:highlight w:val="none"/>
        </w:rPr>
        <w:t xml:space="preserve">1.满足《中华人民共和国政府采购法》第二十二条规定；</w:t>
      </w:r>
      <w:r>
        <w:rPr>
          <w:rFonts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落实政府采购政策需满足的资格要求：</w:t>
      </w:r>
      <w:r>
        <w:rPr>
          <w:rFonts w:hint="eastAsia"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rPr>
        <w:t xml:space="preserve">通用资格要求</w:t>
      </w:r>
      <w:r>
        <w:rPr>
          <w:rFonts w:hint="eastAsia" w:ascii="宋体" w:hAnsi="宋体"/>
          <w:color w:val="auto"/>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05"/>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.本项目的特定资格要求：无</w:t>
      </w:r>
      <w:r>
        <w:rPr>
          <w:rFonts w:hint="eastAsia" w:ascii="宋体" w:hAnsi="宋体"/>
          <w:color w:val="auto"/>
          <w:sz w:val="24"/>
          <w:szCs w:val="24"/>
          <w:highlight w:val="none"/>
        </w:rPr>
        <w:t xml:space="preserve">。</w:t>
      </w:r>
      <w:r>
        <w:rPr>
          <w:rFonts w:ascii="宋体" w:hAnsi="宋体" w:cs="宋体"/>
          <w:color w:val="auto"/>
          <w:sz w:val="24"/>
          <w:szCs w:val="24"/>
          <w:highlight w:val="none"/>
        </w:rPr>
      </w:r>
      <w:r>
        <w:rPr>
          <w:color w:val="auto"/>
          <w:highlight w:val="none"/>
        </w:rPr>
      </w:r>
    </w:p>
    <w:p>
      <w:pPr>
        <w:pStyle w:val="908"/>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sz w:val="30"/>
          <w:szCs w:val="30"/>
          <w:highlight w:val="none"/>
        </w:rPr>
      </w:r>
      <w:r>
        <w:rPr>
          <w:color w:val="auto"/>
          <w:highlight w:val="none"/>
        </w:rPr>
      </w:r>
    </w:p>
    <w:p>
      <w:pPr>
        <w:pStyle w:val="905"/>
        <w:ind w:firstLine="540"/>
        <w:spacing w:line="500" w:lineRule="exact"/>
        <w:rPr>
          <w:rFonts w:hint="eastAsia" w:ascii="宋体" w:hAnsi="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793"/>
      <w:r>
        <w:rPr>
          <w:color w:val="auto"/>
          <w:highlight w:val="none"/>
        </w:rPr>
      </w:r>
      <w:bookmarkStart w:id="25" w:name="_Toc35393624"/>
      <w:r>
        <w:rPr>
          <w:color w:val="auto"/>
          <w:highlight w:val="none"/>
        </w:rPr>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w:t>
      </w:r>
      <w:r>
        <w:rPr>
          <w:rFonts w:hint="eastAsia" w:ascii="宋体" w:hAnsi="宋体"/>
          <w:color w:val="auto"/>
          <w:sz w:val="24"/>
          <w:szCs w:val="24"/>
          <w:highlight w:val="none"/>
        </w:rPr>
        <w:t xml:space="preserve">以本项目招标公告中规定的获取招标文件时间为准。</w:t>
      </w:r>
      <w:r>
        <w:rPr>
          <w:color w:val="auto"/>
          <w:highlight w:val="none"/>
        </w:rPr>
      </w:r>
    </w:p>
    <w:p>
      <w:pPr>
        <w:pStyle w:val="905"/>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bCs/>
          <w:color w:val="auto"/>
          <w:sz w:val="24"/>
          <w:szCs w:val="24"/>
          <w:highlight w:val="none"/>
        </w:rPr>
      </w:r>
      <w:r>
        <w:rPr>
          <w:color w:val="auto"/>
          <w:highlight w:val="none"/>
        </w:rPr>
      </w:r>
    </w:p>
    <w:p>
      <w:pPr>
        <w:pStyle w:val="905"/>
        <w:ind w:firstLine="540"/>
        <w:spacing w:line="500" w:lineRule="exact"/>
        <w:rPr>
          <w:rStyle w:val="982"/>
          <w:color w:val="auto"/>
          <w:highlight w:val="none"/>
        </w:rPr>
      </w:pPr>
      <w:r>
        <w:rPr>
          <w:rFonts w:hint="eastAsia" w:ascii="宋体" w:hAnsi="宋体"/>
          <w:bCs/>
          <w:color w:val="auto"/>
          <w:sz w:val="24"/>
          <w:szCs w:val="24"/>
          <w:highlight w:val="none"/>
        </w:rPr>
        <w:t xml:space="preserve">3.方式：</w:t>
      </w:r>
      <w:r>
        <w:rPr>
          <w:rFonts w:hint="eastAsia" w:ascii="宋体" w:hAnsi="宋体"/>
          <w:bCs/>
          <w:color w:val="auto"/>
          <w:sz w:val="24"/>
          <w:szCs w:val="24"/>
          <w:highlight w:val="none"/>
        </w:rPr>
        <w:t xml:space="preserve">请有投标意向的供应商在招标文件有效获取期内及时至</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w:t>
      </w:r>
      <w:r>
        <w:rPr>
          <w:rFonts w:ascii="宋体" w:hAnsi="宋体"/>
          <w:color w:val="auto"/>
          <w:sz w:val="24"/>
          <w:szCs w:val="24"/>
          <w:highlight w:val="none"/>
        </w:rPr>
        <w:t xml:space="preserve">http://jszfcg.jscz.gov.cn/jszc/login</w:t>
      </w:r>
      <w:r>
        <w:rPr>
          <w:rFonts w:ascii="宋体" w:hAnsi="宋体"/>
          <w:color w:val="auto"/>
          <w:sz w:val="24"/>
          <w:szCs w:val="24"/>
          <w:highlight w:val="none"/>
        </w:rPr>
        <w:t xml:space="preserve">）</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w:t>
      </w:r>
      <w:r>
        <w:rPr>
          <w:rFonts w:hint="eastAsia" w:ascii="宋体" w:hAnsi="宋体"/>
          <w:bCs/>
          <w:color w:val="auto"/>
          <w:sz w:val="24"/>
          <w:szCs w:val="24"/>
          <w:highlight w:val="none"/>
        </w:rPr>
        <w:t xml:space="preserve">有效获取</w:t>
      </w:r>
      <w:r>
        <w:rPr>
          <w:rFonts w:hint="eastAsia" w:ascii="宋体" w:hAnsi="宋体"/>
          <w:bCs/>
          <w:color w:val="auto"/>
          <w:sz w:val="24"/>
          <w:szCs w:val="24"/>
          <w:highlight w:val="none"/>
        </w:rPr>
        <w:t xml:space="preserve">期限内，从</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获取的</w:t>
      </w:r>
      <w:r>
        <w:rPr>
          <w:rFonts w:hint="eastAsia" w:ascii="宋体" w:hAnsi="宋体"/>
          <w:bCs/>
          <w:color w:val="auto"/>
          <w:sz w:val="24"/>
          <w:szCs w:val="24"/>
          <w:highlight w:val="none"/>
        </w:rPr>
        <w:t xml:space="preserve">招标文件，视为依法获取的招标文件。</w:t>
      </w:r>
      <w:r>
        <w:rPr>
          <w:rStyle w:val="982"/>
          <w:color w:val="auto"/>
          <w:highlight w:val="none"/>
        </w:rPr>
      </w:r>
      <w:r>
        <w:rPr>
          <w:color w:val="auto"/>
          <w:highlight w:val="none"/>
        </w:rPr>
      </w:r>
    </w:p>
    <w:p>
      <w:pPr>
        <w:pStyle w:val="905"/>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招标文件</w:t>
      </w:r>
      <w:r>
        <w:rPr>
          <w:rFonts w:hint="eastAsia" w:ascii="宋体" w:hAnsi="宋体"/>
          <w:bCs/>
          <w:color w:val="auto"/>
          <w:sz w:val="24"/>
          <w:szCs w:val="24"/>
          <w:highlight w:val="none"/>
        </w:rPr>
        <w:t xml:space="preserve">免费。</w:t>
      </w:r>
      <w:r>
        <w:rPr>
          <w:rFonts w:ascii="宋体" w:hAnsi="宋体"/>
          <w:bCs/>
          <w:color w:val="auto"/>
          <w:sz w:val="24"/>
          <w:szCs w:val="24"/>
          <w:highlight w:val="none"/>
        </w:rPr>
      </w:r>
      <w:r>
        <w:rPr>
          <w:color w:val="auto"/>
          <w:highlight w:val="none"/>
        </w:rPr>
      </w:r>
    </w:p>
    <w:p>
      <w:pPr>
        <w:pStyle w:val="908"/>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rPr>
          <w:color w:val="auto"/>
          <w:highlight w:val="none"/>
        </w:rPr>
      </w:r>
      <w:bookmarkEnd w:id="23"/>
      <w:r>
        <w:rPr>
          <w:rFonts w:hint="eastAsia"/>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sz w:val="30"/>
          <w:szCs w:val="30"/>
          <w:highlight w:val="none"/>
        </w:rPr>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rPr>
        <w:t xml:space="preserve">13</w:t>
      </w:r>
      <w:r>
        <w:rPr>
          <w:rFonts w:hint="eastAsia" w:ascii="宋体" w:hAnsi="宋体"/>
          <w:bCs/>
          <w:color w:val="auto"/>
          <w:sz w:val="24"/>
          <w:szCs w:val="24"/>
          <w:highlight w:val="none"/>
        </w:rPr>
        <w:t xml:space="preserve">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rPr>
          <w:color w:val="auto"/>
          <w:highlight w:val="none"/>
        </w:rPr>
      </w:r>
    </w:p>
    <w:p>
      <w:pPr>
        <w:pStyle w:val="905"/>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rPr>
          <w:rFonts w:hint="eastAsia" w:ascii="宋体" w:hAnsi="宋体"/>
          <w:bCs/>
          <w:color w:val="auto"/>
          <w:sz w:val="24"/>
          <w:szCs w:val="24"/>
          <w:highlight w:val="none"/>
          <w:u w:val="single"/>
        </w:rPr>
      </w:r>
      <w:r>
        <w:rPr>
          <w:color w:val="auto"/>
          <w:highlight w:val="none"/>
        </w:rPr>
      </w:r>
    </w:p>
    <w:p>
      <w:pPr>
        <w:pStyle w:val="908"/>
        <w:ind w:firstLine="452"/>
        <w:keepLines w:val="0"/>
        <w:keepNext w:val="0"/>
        <w:spacing w:before="0" w:after="0" w:line="500" w:lineRule="exact"/>
        <w:rPr>
          <w:color w:val="auto"/>
          <w:sz w:val="30"/>
          <w:szCs w:val="30"/>
          <w:highlight w:val="non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625"/>
      <w:r>
        <w:rPr>
          <w:color w:val="auto"/>
          <w:highlight w:val="none"/>
        </w:rPr>
      </w:r>
      <w:bookmarkStart w:id="30" w:name="_Toc35393794"/>
      <w:r>
        <w:rPr>
          <w:color w:val="auto"/>
          <w:highlight w:val="none"/>
        </w:rPr>
      </w:r>
      <w:bookmarkStart w:id="31" w:name="_Toc38985267"/>
      <w:r>
        <w:rPr>
          <w:rFonts w:hint="eastAsia"/>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sz w:val="30"/>
          <w:szCs w:val="30"/>
          <w:highlight w:val="none"/>
        </w:rPr>
      </w:r>
      <w:r>
        <w:rPr>
          <w:color w:val="auto"/>
          <w:highlight w:val="none"/>
        </w:rPr>
      </w:r>
    </w:p>
    <w:p>
      <w:pPr>
        <w:pStyle w:val="905"/>
        <w:ind w:firstLine="480"/>
        <w:spacing w:line="500" w:lineRule="exact"/>
        <w:rPr>
          <w:rFonts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rPr>
          <w:rFonts w:ascii="宋体" w:hAnsi="宋体" w:cs="宋体"/>
          <w:color w:val="auto"/>
          <w:sz w:val="24"/>
          <w:szCs w:val="24"/>
          <w:highlight w:val="none"/>
        </w:rPr>
      </w:r>
      <w:r>
        <w:rPr>
          <w:color w:val="auto"/>
          <w:highlight w:val="none"/>
        </w:rPr>
      </w:r>
    </w:p>
    <w:p>
      <w:pPr>
        <w:pStyle w:val="908"/>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rPr>
          <w:color w:val="auto"/>
          <w:highlight w:val="none"/>
        </w:rPr>
      </w:r>
      <w:bookmarkEnd w:id="33"/>
      <w:r>
        <w:rPr>
          <w:color w:val="auto"/>
          <w:highlight w:val="none"/>
        </w:rPr>
      </w:r>
      <w:bookmarkEnd w:id="34"/>
      <w:r>
        <w:rPr>
          <w:color w:val="auto"/>
          <w:sz w:val="30"/>
          <w:szCs w:val="30"/>
          <w:highlight w:val="none"/>
        </w:rPr>
      </w:r>
      <w:r>
        <w:rPr>
          <w:color w:val="auto"/>
          <w:highlight w:val="none"/>
        </w:rPr>
      </w:r>
    </w:p>
    <w:p>
      <w:pPr>
        <w:pStyle w:val="905"/>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rFonts w:ascii="宋体" w:hAnsi="宋体" w:cs="宋体"/>
          <w:color w:val="auto"/>
          <w:sz w:val="24"/>
          <w:szCs w:val="24"/>
          <w:highlight w:val="none"/>
        </w:rPr>
      </w:r>
      <w:r>
        <w:rPr>
          <w:color w:val="auto"/>
          <w:highlight w:val="none"/>
        </w:rPr>
      </w:r>
    </w:p>
    <w:p>
      <w:pPr>
        <w:pStyle w:val="908"/>
        <w:ind w:firstLine="452"/>
        <w:keepLines w:val="0"/>
        <w:keepNext w:val="0"/>
        <w:spacing w:before="0" w:after="0" w:line="500" w:lineRule="exact"/>
        <w:rPr>
          <w:color w:val="auto"/>
          <w:sz w:val="30"/>
          <w:szCs w:val="30"/>
          <w:highlight w:val="none"/>
        </w:rPr>
      </w:pPr>
      <w:r>
        <w:rPr>
          <w:color w:val="auto"/>
          <w:highlight w:val="none"/>
        </w:rPr>
      </w:r>
      <w:bookmarkStart w:id="35" w:name="_Toc28359008"/>
      <w:r>
        <w:rPr>
          <w:color w:val="auto"/>
          <w:highlight w:val="none"/>
        </w:rPr>
      </w:r>
      <w:bookmarkStart w:id="36" w:name="_Toc35393627"/>
      <w:r>
        <w:rPr>
          <w:color w:val="auto"/>
          <w:highlight w:val="none"/>
        </w:rPr>
      </w:r>
      <w:bookmarkStart w:id="37" w:name="_Toc28359085"/>
      <w:r>
        <w:rPr>
          <w:color w:val="auto"/>
          <w:highlight w:val="none"/>
        </w:rPr>
      </w:r>
      <w:bookmarkStart w:id="38" w:name="_Toc35393796"/>
      <w:r>
        <w:rPr>
          <w:color w:val="auto"/>
          <w:highlight w:val="none"/>
        </w:rPr>
      </w:r>
      <w:bookmarkStart w:id="39" w:name="_Toc38985269"/>
      <w:r>
        <w:rPr>
          <w:rFonts w:hint="eastAsia"/>
          <w:color w:val="auto"/>
          <w:sz w:val="30"/>
          <w:szCs w:val="30"/>
          <w:highlight w:val="none"/>
        </w:rPr>
        <w:t xml:space="preserve">七、本项目联系方式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sz w:val="30"/>
          <w:szCs w:val="30"/>
          <w:highlight w:val="none"/>
        </w:rPr>
      </w:r>
      <w:r>
        <w:rPr>
          <w:color w:val="auto"/>
          <w:highlight w:val="none"/>
        </w:rPr>
      </w:r>
    </w:p>
    <w:p>
      <w:pPr>
        <w:pStyle w:val="905"/>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rFonts w:ascii="宋体" w:hAnsi="宋体" w:cs="宋体"/>
          <w:color w:val="auto"/>
          <w:sz w:val="24"/>
          <w:szCs w:val="24"/>
          <w:highlight w:val="none"/>
        </w:rPr>
      </w:r>
      <w:r>
        <w:rPr>
          <w:color w:val="auto"/>
          <w:highlight w:val="none"/>
        </w:rPr>
      </w:r>
    </w:p>
    <w:p>
      <w:pPr>
        <w:pStyle w:val="905"/>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rPr>
        <w:t xml:space="preserve">无锡市机关事务管理局</w:t>
      </w:r>
      <w:r>
        <w:rPr>
          <w:rFonts w:ascii="宋体" w:hAnsi="宋体" w:cs="宋体"/>
          <w:color w:val="auto"/>
          <w:sz w:val="24"/>
          <w:szCs w:val="24"/>
          <w:highlight w:val="none"/>
        </w:rPr>
      </w:r>
      <w:r>
        <w:rPr>
          <w:color w:val="auto"/>
          <w:highlight w:val="none"/>
        </w:rPr>
      </w:r>
    </w:p>
    <w:p>
      <w:pPr>
        <w:pStyle w:val="905"/>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无锡市滨湖区观山路199号市民中心8号楼</w:t>
      </w:r>
      <w:r>
        <w:rPr>
          <w:rFonts w:ascii="宋体" w:hAnsi="宋体" w:cs="宋体"/>
          <w:color w:val="auto"/>
          <w:sz w:val="24"/>
          <w:szCs w:val="24"/>
          <w:highlight w:val="none"/>
        </w:rPr>
      </w:r>
      <w:r>
        <w:rPr>
          <w:color w:val="auto"/>
          <w:highlight w:val="none"/>
        </w:rPr>
      </w:r>
    </w:p>
    <w:p>
      <w:pPr>
        <w:pStyle w:val="905"/>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rPr>
          <w:color w:val="auto"/>
          <w:highlight w:val="none"/>
        </w:rPr>
      </w:r>
      <w:bookmarkStart w:id="41" w:name="_Toc28359086"/>
      <w:r>
        <w:rPr>
          <w:rFonts w:hint="eastAsia" w:ascii="宋体" w:hAnsi="宋体" w:cs="宋体"/>
          <w:color w:val="auto"/>
          <w:sz w:val="24"/>
          <w:szCs w:val="24"/>
          <w:highlight w:val="none"/>
        </w:rPr>
        <w:t xml:space="preserve">见“项目联系方式”</w:t>
      </w:r>
      <w:r>
        <w:rPr>
          <w:rFonts w:ascii="宋体" w:hAnsi="宋体" w:cs="宋体"/>
          <w:color w:val="auto"/>
          <w:sz w:val="24"/>
          <w:szCs w:val="24"/>
          <w:highlight w:val="none"/>
        </w:rPr>
      </w:r>
      <w:r>
        <w:rPr>
          <w:color w:val="auto"/>
          <w:highlight w:val="none"/>
        </w:rPr>
      </w:r>
    </w:p>
    <w:p>
      <w:pPr>
        <w:pStyle w:val="905"/>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rPr>
          <w:color w:val="auto"/>
          <w:highlight w:val="none"/>
        </w:rPr>
      </w:r>
      <w:bookmarkEnd w:id="41"/>
      <w:r>
        <w:rPr>
          <w:rFonts w:hint="eastAsia" w:ascii="宋体" w:hAnsi="宋体" w:cs="宋体"/>
          <w:color w:val="auto"/>
          <w:sz w:val="24"/>
          <w:szCs w:val="24"/>
          <w:highlight w:val="none"/>
        </w:rPr>
        <w:t xml:space="preserve">采购代理机构信息</w:t>
      </w:r>
      <w:r>
        <w:rPr>
          <w:rFonts w:ascii="宋体" w:hAnsi="宋体" w:cs="宋体"/>
          <w:color w:val="auto"/>
          <w:sz w:val="24"/>
          <w:szCs w:val="24"/>
          <w:highlight w:val="none"/>
        </w:rPr>
      </w:r>
      <w:r>
        <w:rPr>
          <w:color w:val="auto"/>
          <w:highlight w:val="none"/>
        </w:rPr>
      </w:r>
    </w:p>
    <w:p>
      <w:pPr>
        <w:pStyle w:val="905"/>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w:t>
      </w:r>
      <w:r>
        <w:rPr>
          <w:color w:val="auto"/>
          <w:highlight w:val="none"/>
        </w:rPr>
      </w:r>
    </w:p>
    <w:p>
      <w:pPr>
        <w:pStyle w:val="905"/>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址：无锡市滨湖区观山路199号10号3楼</w:t>
      </w:r>
      <w:r>
        <w:rPr>
          <w:rFonts w:ascii="宋体" w:hAnsi="宋体" w:cs="宋体"/>
          <w:color w:val="auto"/>
          <w:sz w:val="24"/>
          <w:szCs w:val="24"/>
          <w:highlight w:val="none"/>
        </w:rPr>
      </w:r>
      <w:r>
        <w:rPr>
          <w:color w:val="auto"/>
          <w:highlight w:val="none"/>
        </w:rPr>
      </w:r>
    </w:p>
    <w:p>
      <w:pPr>
        <w:pStyle w:val="905"/>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rPr>
          <w:color w:val="auto"/>
          <w:highlight w:val="none"/>
        </w:rPr>
      </w:r>
    </w:p>
    <w:p>
      <w:pPr>
        <w:pStyle w:val="905"/>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p>
    <w:p>
      <w:pPr>
        <w:pStyle w:val="905"/>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项目咨询联系人：</w:t>
      </w:r>
      <w:r>
        <w:rPr>
          <w:rFonts w:hint="eastAsia" w:ascii="宋体" w:hAnsi="宋体" w:cs="宋体"/>
          <w:color w:val="auto"/>
          <w:sz w:val="24"/>
          <w:szCs w:val="24"/>
          <w:highlight w:val="none"/>
        </w:rPr>
        <w:t xml:space="preserve">金剑锋</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81825371</w:t>
      </w:r>
      <w:r>
        <w:rPr>
          <w:rFonts w:hint="eastAsia" w:ascii="宋体" w:hAnsi="宋体" w:cs="宋体"/>
          <w:color w:val="auto"/>
          <w:sz w:val="24"/>
          <w:szCs w:val="24"/>
          <w:highlight w:val="none"/>
        </w:rPr>
      </w:r>
      <w:r>
        <w:rPr>
          <w:color w:val="auto"/>
          <w:highlight w:val="none"/>
        </w:rPr>
      </w:r>
    </w:p>
    <w:p>
      <w:pPr>
        <w:pStyle w:val="905"/>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rPr>
        <w:t xml:space="preserve">金剑锋</w:t>
      </w:r>
      <w:r>
        <w:rPr>
          <w:rFonts w:hint="eastAsia" w:ascii="宋体" w:hAnsi="宋体" w:cs="宋体"/>
          <w:color w:val="auto"/>
          <w:sz w:val="24"/>
          <w:szCs w:val="24"/>
          <w:highlight w:val="none"/>
        </w:rPr>
        <w:t xml:space="preserve">；电话：0510-</w:t>
      </w:r>
      <w:r>
        <w:rPr>
          <w:rFonts w:ascii="宋体" w:hAnsi="宋体" w:cs="宋体"/>
          <w:color w:val="auto"/>
          <w:sz w:val="24"/>
          <w:szCs w:val="24"/>
          <w:highlight w:val="none"/>
        </w:rPr>
        <w:t xml:space="preserve">81825371</w:t>
      </w:r>
      <w:r>
        <w:rPr>
          <w:rFonts w:hint="eastAsia" w:ascii="宋体" w:hAnsi="宋体" w:cs="宋体"/>
          <w:color w:val="auto"/>
          <w:sz w:val="24"/>
          <w:szCs w:val="24"/>
          <w:highlight w:val="none"/>
        </w:rPr>
      </w:r>
      <w:r>
        <w:rPr>
          <w:color w:val="auto"/>
          <w:highlight w:val="none"/>
        </w:rPr>
      </w:r>
    </w:p>
    <w:p>
      <w:pPr>
        <w:pStyle w:val="905"/>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w:t>
      </w: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李洋</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rPr>
        <w:t xml:space="preserve">81827759</w:t>
      </w:r>
      <w:r>
        <w:rPr>
          <w:rFonts w:hint="eastAsia" w:ascii="宋体" w:hAnsi="宋体" w:cs="宋体"/>
          <w:color w:val="auto"/>
          <w:sz w:val="24"/>
          <w:szCs w:val="24"/>
          <w:highlight w:val="none"/>
        </w:rPr>
      </w:r>
      <w:r>
        <w:rPr>
          <w:color w:val="auto"/>
          <w:highlight w:val="none"/>
        </w:rPr>
      </w:r>
    </w:p>
    <w:p>
      <w:pPr>
        <w:pStyle w:val="908"/>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rPr>
          <w:color w:val="auto"/>
          <w:sz w:val="30"/>
          <w:szCs w:val="30"/>
          <w:highlight w:val="none"/>
        </w:rPr>
      </w:r>
      <w:r>
        <w:rPr>
          <w:color w:val="auto"/>
          <w:highlight w:val="none"/>
        </w:rPr>
      </w:r>
    </w:p>
    <w:p>
      <w:pPr>
        <w:pStyle w:val="905"/>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rPr>
          <w:rFonts w:ascii="宋体" w:hAnsi="宋体" w:cs="宋体"/>
          <w:color w:val="auto"/>
          <w:sz w:val="24"/>
          <w:szCs w:val="24"/>
          <w:highlight w:val="none"/>
        </w:rPr>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rPr>
          <w:rFonts w:ascii="宋体" w:hAnsi="宋体"/>
          <w:color w:val="auto"/>
          <w:sz w:val="24"/>
          <w:szCs w:val="24"/>
          <w:highlight w:val="none"/>
        </w:rPr>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w:t>
      </w:r>
      <w:r>
        <w:rPr>
          <w:rFonts w:hint="eastAsia" w:ascii="宋体" w:hAnsi="宋体"/>
          <w:color w:val="auto"/>
          <w:sz w:val="24"/>
          <w:szCs w:val="24"/>
          <w:highlight w:val="none"/>
        </w:rPr>
        <w:t xml:space="preserve">一楼</w:t>
      </w:r>
      <w:r>
        <w:rPr>
          <w:rFonts w:ascii="宋体" w:hAnsi="宋体"/>
          <w:color w:val="auto"/>
          <w:sz w:val="24"/>
          <w:szCs w:val="24"/>
          <w:highlight w:val="none"/>
        </w:rPr>
        <w:t xml:space="preserve">），办理指南链接：http://jsxcmm.com/help/help.html。</w:t>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w:t>
      </w:r>
      <w:r>
        <w:rPr>
          <w:rFonts w:ascii="宋体" w:hAnsi="宋体"/>
          <w:color w:val="auto"/>
          <w:sz w:val="24"/>
          <w:szCs w:val="24"/>
          <w:highlight w:val="none"/>
        </w:rPr>
        <w:t xml:space="preserve">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w:t>
      </w:r>
      <w:r>
        <w:rPr>
          <w:rFonts w:ascii="宋体" w:hAnsi="宋体"/>
          <w:color w:val="auto"/>
          <w:sz w:val="24"/>
          <w:szCs w:val="24"/>
          <w:highlight w:val="none"/>
        </w:rPr>
        <w:t xml:space="preserve">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rPr>
          <w:rFonts w:ascii="宋体" w:hAnsi="宋体"/>
          <w:color w:val="auto"/>
          <w:sz w:val="24"/>
          <w:szCs w:val="24"/>
          <w:highlight w:val="none"/>
        </w:rPr>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rPr>
          <w:rFonts w:ascii="宋体" w:hAnsi="宋体"/>
          <w:color w:val="auto"/>
          <w:sz w:val="24"/>
          <w:szCs w:val="24"/>
          <w:highlight w:val="none"/>
        </w:rPr>
      </w:r>
      <w:r>
        <w:rPr>
          <w:color w:val="auto"/>
          <w:highlight w:val="none"/>
        </w:rPr>
      </w:r>
    </w:p>
    <w:p>
      <w:pPr>
        <w:pStyle w:val="905"/>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rPr>
          <w:rFonts w:ascii="宋体" w:hAnsi="宋体" w:cs="宋体"/>
          <w:color w:val="auto"/>
          <w:sz w:val="24"/>
          <w:szCs w:val="24"/>
          <w:highlight w:val="none"/>
        </w:rPr>
      </w:r>
      <w:r>
        <w:rPr>
          <w:color w:val="auto"/>
          <w:highlight w:val="none"/>
        </w:rPr>
      </w:r>
    </w:p>
    <w:p>
      <w:pPr>
        <w:pStyle w:val="905"/>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w:t>
      </w:r>
      <w:r>
        <w:rPr>
          <w:rFonts w:ascii="宋体" w:hAnsi="宋体"/>
          <w:color w:val="auto"/>
          <w:sz w:val="24"/>
          <w:szCs w:val="24"/>
          <w:highlight w:val="none"/>
        </w:rPr>
        <w:t xml:space="preserve">如确</w:t>
      </w:r>
      <w:r>
        <w:rPr>
          <w:rFonts w:ascii="宋体" w:hAnsi="宋体"/>
          <w:color w:val="auto"/>
          <w:sz w:val="24"/>
          <w:szCs w:val="24"/>
          <w:highlight w:val="none"/>
        </w:rPr>
        <w:t xml:space="preserve">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rPr>
          <w:color w:val="auto"/>
          <w:highlight w:val="none"/>
        </w:rPr>
      </w:r>
    </w:p>
    <w:p>
      <w:pPr>
        <w:pStyle w:val="905"/>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（三）有关本次采购的事项若存在变动或修改，敬请及时关注无锡市公共资源交易中心在“江苏政府采购网”发布的更正公告。</w:t>
      </w:r>
      <w:r>
        <w:rPr>
          <w:color w:val="auto"/>
          <w:highlight w:val="none"/>
        </w:rPr>
      </w:r>
    </w:p>
    <w:p>
      <w:pPr>
        <w:pStyle w:val="905"/>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（四）本次采购不收取投标保证金。</w:t>
      </w:r>
      <w:r>
        <w:rPr>
          <w:color w:val="auto"/>
          <w:highlight w:val="none"/>
        </w:rPr>
      </w:r>
    </w:p>
    <w:p>
      <w:pPr>
        <w:pStyle w:val="905"/>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（五）</w:t>
      </w:r>
      <w:r>
        <w:rPr>
          <w:rFonts w:hint="eastAsia" w:ascii="宋体" w:hAnsi="宋体"/>
          <w:bCs/>
          <w:color w:val="auto"/>
          <w:sz w:val="24"/>
          <w:szCs w:val="24"/>
          <w:highlight w:val="none"/>
        </w:rPr>
        <w:t xml:space="preserve">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color w:val="auto"/>
          <w:sz w:val="24"/>
          <w:szCs w:val="24"/>
          <w:highlight w:val="none"/>
          <w:shd w:val="clear" w:color="ffffff" w:fill="d9d9d9"/>
        </w:rPr>
      </w:r>
      <w:r>
        <w:rPr>
          <w:color w:val="auto"/>
          <w:highlight w:val="none"/>
        </w:rPr>
      </w:r>
    </w:p>
    <w:p>
      <w:pPr>
        <w:pStyle w:val="905"/>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3" w:name="_Toc16938518"/>
      <w:r>
        <w:rPr>
          <w:color w:val="auto"/>
          <w:highlight w:val="none"/>
        </w:rPr>
      </w:r>
      <w:bookmarkStart w:id="44" w:name="_Toc20823274"/>
      <w:r>
        <w:rPr>
          <w:color w:val="auto"/>
          <w:highlight w:val="none"/>
        </w:rPr>
      </w:r>
      <w:bookmarkStart w:id="45" w:name="_Toc513029202"/>
      <w:r>
        <w:rPr>
          <w:color w:val="auto"/>
          <w:highlight w:val="none"/>
        </w:rPr>
      </w:r>
      <w:bookmarkStart w:id="46" w:name="_Toc120614213"/>
      <w:r>
        <w:rPr>
          <w:rFonts w:hint="eastAsia" w:ascii="黑体" w:hAnsi="黑体" w:eastAsia="黑体"/>
          <w:color w:val="auto"/>
          <w:sz w:val="36"/>
          <w:szCs w:val="36"/>
          <w:highlight w:val="none"/>
        </w:rPr>
        <w:t xml:space="preserve">投标人须知</w:t>
      </w:r>
      <w:bookmarkEnd w:id="43"/>
      <w:r>
        <w:rPr>
          <w:color w:val="auto"/>
          <w:highlight w:val="none"/>
        </w:rPr>
      </w:r>
      <w:bookmarkEnd w:id="44"/>
      <w:r>
        <w:rPr>
          <w:color w:val="auto"/>
          <w:highlight w:val="none"/>
        </w:rPr>
      </w:r>
      <w:bookmarkEnd w:id="45"/>
      <w:r>
        <w:rPr>
          <w:color w:val="auto"/>
          <w:highlight w:val="none"/>
        </w:rPr>
      </w:r>
      <w:bookmarkEnd w:id="46"/>
      <w:r>
        <w:rPr>
          <w:rFonts w:hint="eastAsia" w:ascii="黑体" w:hAnsi="黑体" w:eastAsia="黑体"/>
          <w:color w:val="auto"/>
          <w:sz w:val="36"/>
          <w:szCs w:val="36"/>
          <w:highlight w:val="none"/>
        </w:rPr>
      </w:r>
      <w:r>
        <w:rPr>
          <w:color w:val="auto"/>
          <w:highlight w:val="none"/>
        </w:rPr>
      </w:r>
    </w:p>
    <w:p>
      <w:pPr>
        <w:pStyle w:val="908"/>
        <w:ind w:firstLine="452"/>
        <w:keepLines w:val="0"/>
        <w:keepNext w:val="0"/>
        <w:spacing w:before="0" w:after="0" w:line="500" w:lineRule="exact"/>
        <w:rPr>
          <w:rFonts w:hint="eastAsia"/>
          <w:color w:val="auto"/>
          <w:sz w:val="30"/>
          <w:szCs w:val="30"/>
          <w:highlight w:val="none"/>
        </w:rPr>
      </w:pPr>
      <w:r>
        <w:rPr>
          <w:color w:val="auto"/>
          <w:highlight w:val="none"/>
        </w:rPr>
      </w:r>
      <w:bookmarkStart w:id="47" w:name="_Toc513029203"/>
      <w:r>
        <w:rPr>
          <w:color w:val="auto"/>
          <w:highlight w:val="none"/>
        </w:rPr>
      </w:r>
      <w:bookmarkStart w:id="48" w:name="_Toc120614214"/>
      <w:r>
        <w:rPr>
          <w:color w:val="auto"/>
          <w:highlight w:val="none"/>
        </w:rPr>
      </w:r>
      <w:bookmarkStart w:id="49" w:name="_Toc20823275"/>
      <w:r>
        <w:rPr>
          <w:color w:val="auto"/>
          <w:highlight w:val="none"/>
        </w:rPr>
      </w:r>
      <w:bookmarkStart w:id="50" w:name="_Toc16938519"/>
      <w:r>
        <w:rPr>
          <w:rFonts w:hint="eastAsia"/>
          <w:color w:val="auto"/>
          <w:sz w:val="30"/>
          <w:szCs w:val="30"/>
          <w:highlight w:val="none"/>
        </w:rPr>
        <w:t xml:space="preserve">一、总则</w:t>
      </w:r>
      <w:bookmarkEnd w:id="47"/>
      <w:r>
        <w:rPr>
          <w:color w:val="auto"/>
          <w:highlight w:val="none"/>
        </w:rPr>
      </w:r>
      <w:bookmarkEnd w:id="48"/>
      <w:r>
        <w:rPr>
          <w:color w:val="auto"/>
          <w:highlight w:val="none"/>
        </w:rPr>
      </w:r>
      <w:bookmarkEnd w:id="49"/>
      <w:r>
        <w:rPr>
          <w:color w:val="auto"/>
          <w:highlight w:val="none"/>
        </w:rPr>
      </w:r>
      <w:bookmarkEnd w:id="50"/>
      <w:r>
        <w:rPr>
          <w:rFonts w:hint="eastAsia"/>
          <w:color w:val="auto"/>
          <w:sz w:val="30"/>
          <w:szCs w:val="30"/>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1" w:name="_Hlt16619475"/>
      <w:r>
        <w:rPr>
          <w:color w:val="auto"/>
          <w:highlight w:val="none"/>
        </w:rPr>
      </w:r>
      <w:bookmarkEnd w:id="51"/>
      <w:r>
        <w:rPr>
          <w:color w:val="auto"/>
          <w:highlight w:val="none"/>
        </w:rPr>
      </w:r>
      <w:bookmarkStart w:id="52" w:name="_Toc16938520"/>
      <w:r>
        <w:rPr>
          <w:color w:val="auto"/>
          <w:highlight w:val="none"/>
        </w:rPr>
      </w:r>
      <w:bookmarkStart w:id="53" w:name="_Toc513029204"/>
      <w:r>
        <w:rPr>
          <w:color w:val="auto"/>
          <w:highlight w:val="none"/>
        </w:rPr>
      </w:r>
      <w:bookmarkStart w:id="54" w:name="_Toc20823276"/>
      <w:r>
        <w:rPr>
          <w:rFonts w:hint="eastAsia" w:ascii="宋体" w:hAnsi="宋体" w:eastAsia="宋体"/>
          <w:bCs w:val="0"/>
          <w:color w:val="auto"/>
          <w:highlight w:val="none"/>
        </w:rPr>
        <w:t xml:space="preserve">1.招标方式</w:t>
      </w:r>
      <w:bookmarkEnd w:id="52"/>
      <w:r>
        <w:rPr>
          <w:color w:val="auto"/>
          <w:highlight w:val="none"/>
        </w:rPr>
      </w:r>
      <w:bookmarkEnd w:id="53"/>
      <w:r>
        <w:rPr>
          <w:color w:val="auto"/>
          <w:highlight w:val="none"/>
        </w:rPr>
      </w:r>
      <w:bookmarkEnd w:id="54"/>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5" w:name="_Toc16938521"/>
      <w:r>
        <w:rPr>
          <w:color w:val="auto"/>
          <w:highlight w:val="none"/>
        </w:rPr>
      </w:r>
      <w:bookmarkStart w:id="56" w:name="_Toc20823277"/>
      <w:r>
        <w:rPr>
          <w:color w:val="auto"/>
          <w:highlight w:val="none"/>
        </w:rPr>
      </w:r>
      <w:bookmarkStart w:id="57" w:name="_Toc513029205"/>
      <w:r>
        <w:rPr>
          <w:rFonts w:hint="eastAsia" w:ascii="宋体" w:hAnsi="宋体" w:eastAsia="宋体"/>
          <w:bCs w:val="0"/>
          <w:color w:val="auto"/>
          <w:highlight w:val="none"/>
        </w:rPr>
        <w:t xml:space="preserve">2.</w:t>
      </w:r>
      <w:bookmarkEnd w:id="55"/>
      <w:r>
        <w:rPr>
          <w:color w:val="auto"/>
          <w:highlight w:val="none"/>
        </w:rPr>
      </w:r>
      <w:bookmarkEnd w:id="56"/>
      <w:r>
        <w:rPr>
          <w:color w:val="auto"/>
          <w:highlight w:val="none"/>
        </w:rPr>
      </w:r>
      <w:bookmarkEnd w:id="57"/>
      <w:r>
        <w:rPr>
          <w:rFonts w:hint="eastAsia" w:ascii="宋体" w:hAnsi="宋体" w:eastAsia="宋体"/>
          <w:bCs w:val="0"/>
          <w:color w:val="auto"/>
          <w:highlight w:val="none"/>
        </w:rPr>
        <w:t xml:space="preserve">采购人、采购代理机构、投标人、联合体</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8" w:name="_Toc513029206"/>
      <w:r>
        <w:rPr>
          <w:color w:val="auto"/>
          <w:highlight w:val="none"/>
        </w:rPr>
      </w:r>
      <w:bookmarkStart w:id="59" w:name="_Toc16938522"/>
      <w:r>
        <w:rPr>
          <w:color w:val="auto"/>
          <w:highlight w:val="none"/>
        </w:rPr>
      </w:r>
      <w:bookmarkStart w:id="60" w:name="_Toc20823278"/>
      <w:r>
        <w:rPr>
          <w:rFonts w:hint="eastAsia" w:ascii="宋体" w:hAnsi="宋体" w:eastAsia="宋体"/>
          <w:bCs w:val="0"/>
          <w:color w:val="auto"/>
          <w:highlight w:val="none"/>
        </w:rPr>
        <w:t xml:space="preserve">3.适用法律</w:t>
      </w:r>
      <w:bookmarkEnd w:id="58"/>
      <w:r>
        <w:rPr>
          <w:color w:val="auto"/>
          <w:highlight w:val="none"/>
        </w:rPr>
      </w:r>
      <w:bookmarkEnd w:id="59"/>
      <w:r>
        <w:rPr>
          <w:color w:val="auto"/>
          <w:highlight w:val="none"/>
        </w:rPr>
      </w:r>
      <w:bookmarkEnd w:id="60"/>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rPr>
        <w:t xml:space="preserve">本次招标及由此产生的合同受中华人民共和国法律的制约和保护。</w:t>
      </w:r>
      <w:r>
        <w:rPr>
          <w:rFonts w:hint="eastAsia" w:ascii="宋体" w:hAnsi="宋体"/>
          <w:color w:val="auto"/>
          <w:sz w:val="24"/>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1" w:name="_Toc20823279"/>
      <w:r>
        <w:rPr>
          <w:color w:val="auto"/>
          <w:highlight w:val="none"/>
        </w:rPr>
      </w:r>
      <w:bookmarkStart w:id="62" w:name="_Toc513029207"/>
      <w:r>
        <w:rPr>
          <w:color w:val="auto"/>
          <w:highlight w:val="none"/>
        </w:rPr>
      </w:r>
      <w:bookmarkStart w:id="63" w:name="_Toc462564067"/>
      <w:r>
        <w:rPr>
          <w:color w:val="auto"/>
          <w:highlight w:val="none"/>
        </w:rPr>
      </w:r>
      <w:bookmarkStart w:id="64" w:name="_Toc16938523"/>
      <w:r>
        <w:rPr>
          <w:rFonts w:hint="eastAsia" w:ascii="宋体" w:hAnsi="宋体" w:eastAsia="宋体"/>
          <w:bCs w:val="0"/>
          <w:color w:val="auto"/>
          <w:highlight w:val="none"/>
        </w:rPr>
        <w:t xml:space="preserve">4.投标费用</w:t>
      </w:r>
      <w:bookmarkEnd w:id="61"/>
      <w:r>
        <w:rPr>
          <w:color w:val="auto"/>
          <w:highlight w:val="none"/>
        </w:rPr>
      </w:r>
      <w:bookmarkEnd w:id="62"/>
      <w:r>
        <w:rPr>
          <w:color w:val="auto"/>
          <w:highlight w:val="none"/>
        </w:rPr>
      </w:r>
      <w:bookmarkEnd w:id="63"/>
      <w:r>
        <w:rPr>
          <w:color w:val="auto"/>
          <w:highlight w:val="none"/>
        </w:rPr>
      </w:r>
      <w:bookmarkEnd w:id="64"/>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w:t>
      </w:r>
      <w:r>
        <w:rPr>
          <w:rFonts w:hint="eastAsia" w:ascii="宋体" w:hAnsi="宋体"/>
          <w:color w:val="auto"/>
          <w:sz w:val="24"/>
          <w:highlight w:val="none"/>
        </w:rPr>
        <w:t xml:space="preserve">、</w:t>
      </w:r>
      <w:r>
        <w:rPr>
          <w:rFonts w:hint="eastAsia" w:ascii="宋体" w:hAnsi="宋体"/>
          <w:color w:val="auto"/>
          <w:sz w:val="24"/>
          <w:highlight w:val="none"/>
        </w:rPr>
        <w:t xml:space="preserve">中标服务费</w:t>
      </w:r>
      <w:r>
        <w:rPr>
          <w:rFonts w:hint="eastAsia" w:ascii="宋体" w:hAnsi="宋体"/>
          <w:color w:val="auto"/>
          <w:sz w:val="24"/>
          <w:highlight w:val="none"/>
        </w:rPr>
        <w:t xml:space="preserve">、招标文件均免费</w:t>
      </w:r>
      <w:r>
        <w:rPr>
          <w:rFonts w:hint="eastAsia" w:ascii="宋体" w:hAnsi="宋体"/>
          <w:color w:val="auto"/>
          <w:sz w:val="24"/>
          <w:highlight w:val="none"/>
        </w:rPr>
        <w:t xml:space="preserve">。</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rPr>
          <w:color w:val="auto"/>
          <w:highlight w:val="none"/>
        </w:rPr>
      </w:r>
    </w:p>
    <w:p>
      <w:pPr>
        <w:pStyle w:val="908"/>
        <w:ind w:firstLine="452"/>
        <w:keepLines w:val="0"/>
        <w:keepNext w:val="0"/>
        <w:spacing w:before="0" w:after="0" w:line="500" w:lineRule="exact"/>
        <w:rPr>
          <w:rFonts w:hint="eastAsia"/>
          <w:color w:val="auto"/>
          <w:sz w:val="30"/>
          <w:szCs w:val="30"/>
          <w:highlight w:val="none"/>
        </w:rPr>
      </w:pPr>
      <w:r>
        <w:rPr>
          <w:color w:val="auto"/>
          <w:highlight w:val="none"/>
        </w:rPr>
      </w:r>
      <w:bookmarkStart w:id="65" w:name="_Toc16938525"/>
      <w:r>
        <w:rPr>
          <w:color w:val="auto"/>
          <w:highlight w:val="none"/>
        </w:rPr>
      </w:r>
      <w:bookmarkStart w:id="66" w:name="_Toc513029209"/>
      <w:r>
        <w:rPr>
          <w:color w:val="auto"/>
          <w:highlight w:val="none"/>
        </w:rPr>
      </w:r>
      <w:bookmarkStart w:id="67" w:name="_Toc120614215"/>
      <w:r>
        <w:rPr>
          <w:color w:val="auto"/>
          <w:highlight w:val="none"/>
        </w:rPr>
      </w:r>
      <w:bookmarkStart w:id="68" w:name="_Toc20823281"/>
      <w:r>
        <w:rPr>
          <w:rFonts w:hint="eastAsia"/>
          <w:color w:val="auto"/>
          <w:sz w:val="30"/>
          <w:szCs w:val="30"/>
          <w:highlight w:val="none"/>
        </w:rPr>
        <w:t xml:space="preserve">二、招标文件</w:t>
      </w:r>
      <w:bookmarkEnd w:id="65"/>
      <w:r>
        <w:rPr>
          <w:color w:val="auto"/>
          <w:highlight w:val="none"/>
        </w:rPr>
      </w:r>
      <w:bookmarkEnd w:id="66"/>
      <w:r>
        <w:rPr>
          <w:color w:val="auto"/>
          <w:highlight w:val="none"/>
        </w:rPr>
      </w:r>
      <w:bookmarkEnd w:id="67"/>
      <w:r>
        <w:rPr>
          <w:color w:val="auto"/>
          <w:highlight w:val="none"/>
        </w:rPr>
      </w:r>
      <w:bookmarkEnd w:id="68"/>
      <w:r>
        <w:rPr>
          <w:rFonts w:hint="eastAsia"/>
          <w:color w:val="auto"/>
          <w:sz w:val="30"/>
          <w:szCs w:val="30"/>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9" w:name="_Toc20823282"/>
      <w:r>
        <w:rPr>
          <w:color w:val="auto"/>
          <w:highlight w:val="none"/>
        </w:rPr>
      </w:r>
      <w:bookmarkStart w:id="70" w:name="_Toc513029210"/>
      <w:r>
        <w:rPr>
          <w:color w:val="auto"/>
          <w:highlight w:val="none"/>
        </w:rPr>
      </w:r>
      <w:bookmarkStart w:id="71" w:name="_Toc16938526"/>
      <w:r>
        <w:rPr>
          <w:rFonts w:hint="eastAsia" w:ascii="宋体" w:hAnsi="宋体" w:eastAsia="宋体"/>
          <w:bCs w:val="0"/>
          <w:color w:val="auto"/>
          <w:highlight w:val="none"/>
        </w:rPr>
        <w:t xml:space="preserve">6.招标文件构成</w:t>
      </w:r>
      <w:bookmarkEnd w:id="69"/>
      <w:r>
        <w:rPr>
          <w:color w:val="auto"/>
          <w:highlight w:val="none"/>
        </w:rPr>
      </w:r>
      <w:bookmarkEnd w:id="70"/>
      <w:r>
        <w:rPr>
          <w:color w:val="auto"/>
          <w:highlight w:val="none"/>
        </w:rPr>
      </w:r>
      <w:bookmarkEnd w:id="71"/>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color w:val="auto"/>
          <w:highlight w:val="none"/>
        </w:rPr>
      </w:r>
    </w:p>
    <w:p>
      <w:pPr>
        <w:pStyle w:val="905"/>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rPr>
          <w:rFonts w:hint="eastAsia"/>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2" w:name="_Toc16938527"/>
      <w:r>
        <w:rPr>
          <w:color w:val="auto"/>
          <w:highlight w:val="none"/>
        </w:rPr>
      </w:r>
      <w:bookmarkStart w:id="73" w:name="_Toc20823283"/>
      <w:r>
        <w:rPr>
          <w:color w:val="auto"/>
          <w:highlight w:val="none"/>
        </w:rPr>
      </w:r>
      <w:bookmarkStart w:id="74" w:name="_Toc462564070"/>
      <w:r>
        <w:rPr>
          <w:color w:val="auto"/>
          <w:highlight w:val="none"/>
        </w:rPr>
      </w:r>
      <w:bookmarkStart w:id="75" w:name="_Toc513029211"/>
      <w:r>
        <w:rPr>
          <w:rFonts w:hint="eastAsia" w:ascii="宋体" w:hAnsi="宋体" w:eastAsia="宋体"/>
          <w:bCs w:val="0"/>
          <w:color w:val="auto"/>
          <w:highlight w:val="none"/>
        </w:rPr>
        <w:t xml:space="preserve">7.招标文件的澄清</w:t>
      </w:r>
      <w:bookmarkEnd w:id="72"/>
      <w:r>
        <w:rPr>
          <w:color w:val="auto"/>
          <w:highlight w:val="none"/>
        </w:rPr>
      </w:r>
      <w:bookmarkEnd w:id="73"/>
      <w:r>
        <w:rPr>
          <w:color w:val="auto"/>
          <w:highlight w:val="none"/>
        </w:rPr>
      </w:r>
      <w:bookmarkEnd w:id="74"/>
      <w:r>
        <w:rPr>
          <w:color w:val="auto"/>
          <w:highlight w:val="none"/>
        </w:rPr>
      </w:r>
      <w:bookmarkEnd w:id="75"/>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auto"/>
          <w:sz w:val="24"/>
          <w:highlight w:val="none"/>
        </w:rPr>
        <w:t xml:space="preserve">参照</w:t>
      </w:r>
      <w:r>
        <w:rPr>
          <w:rFonts w:hint="eastAsia" w:ascii="宋体" w:hAnsi="宋体"/>
          <w:bCs/>
          <w:color w:val="auto"/>
          <w:sz w:val="24"/>
          <w:highlight w:val="none"/>
        </w:rPr>
        <w:t xml:space="preserve">本章</w:t>
      </w:r>
      <w:r>
        <w:rPr>
          <w:rFonts w:hint="eastAsia" w:ascii="宋体" w:hAnsi="宋体"/>
          <w:bCs/>
          <w:color w:val="auto"/>
          <w:sz w:val="24"/>
          <w:highlight w:val="none"/>
        </w:rPr>
        <w:t xml:space="preserve">下述28.4条款的规定向采购人或交易中心以书面形式提出。</w:t>
      </w:r>
      <w:r>
        <w:rPr>
          <w:rFonts w:hint="eastAsia" w:ascii="宋体" w:hAnsi="宋体"/>
          <w:bCs/>
          <w:color w:val="auto"/>
          <w:sz w:val="24"/>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6" w:name="_Toc20823284"/>
      <w:r>
        <w:rPr>
          <w:color w:val="auto"/>
          <w:highlight w:val="none"/>
        </w:rPr>
      </w:r>
      <w:bookmarkStart w:id="77" w:name="_Toc462564071"/>
      <w:r>
        <w:rPr>
          <w:color w:val="auto"/>
          <w:highlight w:val="none"/>
        </w:rPr>
      </w:r>
      <w:bookmarkStart w:id="78" w:name="_Toc16938528"/>
      <w:r>
        <w:rPr>
          <w:color w:val="auto"/>
          <w:highlight w:val="none"/>
        </w:rPr>
      </w:r>
      <w:bookmarkStart w:id="79" w:name="_Toc513029212"/>
      <w:r>
        <w:rPr>
          <w:rFonts w:hint="eastAsia" w:ascii="宋体" w:hAnsi="宋体" w:eastAsia="宋体"/>
          <w:bCs w:val="0"/>
          <w:color w:val="auto"/>
          <w:highlight w:val="none"/>
        </w:rPr>
        <w:t xml:space="preserve">8.招标文件的修改</w:t>
      </w:r>
      <w:bookmarkEnd w:id="76"/>
      <w:r>
        <w:rPr>
          <w:color w:val="auto"/>
          <w:highlight w:val="none"/>
        </w:rPr>
      </w:r>
      <w:bookmarkEnd w:id="77"/>
      <w:r>
        <w:rPr>
          <w:color w:val="auto"/>
          <w:highlight w:val="none"/>
        </w:rPr>
      </w:r>
      <w:bookmarkEnd w:id="78"/>
      <w:r>
        <w:rPr>
          <w:color w:val="auto"/>
          <w:highlight w:val="none"/>
        </w:rPr>
      </w:r>
      <w:bookmarkEnd w:id="79"/>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auto"/>
          <w:sz w:val="24"/>
          <w:highlight w:val="none"/>
        </w:rPr>
      </w:r>
      <w:r>
        <w:rPr>
          <w:color w:val="auto"/>
          <w:highlight w:val="none"/>
        </w:rPr>
      </w:r>
    </w:p>
    <w:p>
      <w:pPr>
        <w:pStyle w:val="908"/>
        <w:ind w:firstLine="452"/>
        <w:keepLines w:val="0"/>
        <w:keepNext w:val="0"/>
        <w:spacing w:before="0" w:after="0" w:line="500" w:lineRule="exact"/>
        <w:rPr>
          <w:rFonts w:hint="eastAsia"/>
          <w:color w:val="auto"/>
          <w:sz w:val="30"/>
          <w:szCs w:val="30"/>
          <w:highlight w:val="none"/>
        </w:rPr>
      </w:pPr>
      <w:r>
        <w:rPr>
          <w:color w:val="auto"/>
          <w:highlight w:val="none"/>
        </w:rPr>
      </w:r>
      <w:bookmarkStart w:id="80" w:name="_Toc120614216"/>
      <w:r>
        <w:rPr>
          <w:color w:val="auto"/>
          <w:highlight w:val="none"/>
        </w:rPr>
      </w:r>
      <w:bookmarkStart w:id="81" w:name="_Toc462564072"/>
      <w:r>
        <w:rPr>
          <w:color w:val="auto"/>
          <w:highlight w:val="none"/>
        </w:rPr>
      </w:r>
      <w:bookmarkStart w:id="82" w:name="_Toc20823285"/>
      <w:r>
        <w:rPr>
          <w:color w:val="auto"/>
          <w:highlight w:val="none"/>
        </w:rPr>
      </w:r>
      <w:bookmarkStart w:id="83" w:name="_Toc16938529"/>
      <w:r>
        <w:rPr>
          <w:color w:val="auto"/>
          <w:highlight w:val="none"/>
        </w:rPr>
      </w:r>
      <w:bookmarkStart w:id="84" w:name="_Toc513029213"/>
      <w:r>
        <w:rPr>
          <w:rFonts w:hint="eastAsia"/>
          <w:color w:val="auto"/>
          <w:sz w:val="30"/>
          <w:szCs w:val="30"/>
          <w:highlight w:val="none"/>
        </w:rPr>
        <w:t xml:space="preserve">三、投标文件的编制</w:t>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rFonts w:hint="eastAsia"/>
          <w:color w:val="auto"/>
          <w:sz w:val="30"/>
          <w:szCs w:val="30"/>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5" w:name="_Toc462564073"/>
      <w:r>
        <w:rPr>
          <w:color w:val="auto"/>
          <w:highlight w:val="none"/>
        </w:rPr>
      </w:r>
      <w:bookmarkStart w:id="86" w:name="_Toc513029214"/>
      <w:r>
        <w:rPr>
          <w:color w:val="auto"/>
          <w:highlight w:val="none"/>
        </w:rPr>
      </w:r>
      <w:bookmarkStart w:id="87" w:name="_Toc20823286"/>
      <w:r>
        <w:rPr>
          <w:color w:val="auto"/>
          <w:highlight w:val="none"/>
        </w:rPr>
      </w:r>
      <w:bookmarkStart w:id="88" w:name="_Toc16938530"/>
      <w:r>
        <w:rPr>
          <w:rFonts w:hint="eastAsia" w:ascii="宋体" w:hAnsi="宋体" w:eastAsia="宋体"/>
          <w:bCs w:val="0"/>
          <w:color w:val="auto"/>
          <w:highlight w:val="none"/>
        </w:rPr>
        <w:t xml:space="preserve">9.投标文件的语言及度量衡单位</w:t>
      </w:r>
      <w:bookmarkEnd w:id="85"/>
      <w:r>
        <w:rPr>
          <w:color w:val="auto"/>
          <w:highlight w:val="none"/>
        </w:rPr>
      </w:r>
      <w:bookmarkEnd w:id="86"/>
      <w:r>
        <w:rPr>
          <w:color w:val="auto"/>
          <w:highlight w:val="none"/>
        </w:rPr>
      </w:r>
      <w:bookmarkEnd w:id="87"/>
      <w:r>
        <w:rPr>
          <w:color w:val="auto"/>
          <w:highlight w:val="none"/>
        </w:rPr>
      </w:r>
      <w:bookmarkEnd w:id="88"/>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w:t>
      </w:r>
      <w:r>
        <w:rPr>
          <w:rFonts w:hint="eastAsia" w:ascii="宋体" w:hAnsi="宋体"/>
          <w:color w:val="auto"/>
          <w:sz w:val="24"/>
          <w:highlight w:val="none"/>
        </w:rPr>
        <w:t xml:space="preserve">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9" w:name="_Toc462564074"/>
      <w:r>
        <w:rPr>
          <w:color w:val="auto"/>
          <w:highlight w:val="none"/>
        </w:rPr>
      </w:r>
      <w:bookmarkStart w:id="90" w:name="_Toc16938531"/>
      <w:r>
        <w:rPr>
          <w:color w:val="auto"/>
          <w:highlight w:val="none"/>
        </w:rPr>
      </w:r>
      <w:bookmarkStart w:id="91" w:name="_Toc20823287"/>
      <w:r>
        <w:rPr>
          <w:color w:val="auto"/>
          <w:highlight w:val="none"/>
        </w:rPr>
      </w:r>
      <w:bookmarkStart w:id="92" w:name="_Toc513029215"/>
      <w:r>
        <w:rPr>
          <w:rFonts w:hint="eastAsia" w:ascii="宋体" w:hAnsi="宋体" w:eastAsia="宋体"/>
          <w:bCs w:val="0"/>
          <w:color w:val="auto"/>
          <w:highlight w:val="none"/>
        </w:rPr>
        <w:t xml:space="preserve">10.投标文件构成</w:t>
      </w:r>
      <w:bookmarkEnd w:id="89"/>
      <w:r>
        <w:rPr>
          <w:color w:val="auto"/>
          <w:highlight w:val="none"/>
        </w:rPr>
      </w:r>
      <w:bookmarkEnd w:id="90"/>
      <w:r>
        <w:rPr>
          <w:color w:val="auto"/>
          <w:highlight w:val="none"/>
        </w:rPr>
      </w:r>
      <w:bookmarkEnd w:id="91"/>
      <w:r>
        <w:rPr>
          <w:color w:val="auto"/>
          <w:highlight w:val="none"/>
        </w:rPr>
      </w:r>
      <w:bookmarkEnd w:id="92"/>
      <w:r>
        <w:rPr>
          <w:rFonts w:hint="eastAsia" w:ascii="宋体" w:hAnsi="宋体" w:eastAsia="宋体"/>
          <w:bCs w:val="0"/>
          <w:color w:val="auto"/>
          <w:highlight w:val="none"/>
        </w:rPr>
      </w:r>
      <w:r>
        <w:rPr>
          <w:color w:val="auto"/>
          <w:highlight w:val="none"/>
        </w:rPr>
      </w:r>
    </w:p>
    <w:p>
      <w:pPr>
        <w:pStyle w:val="905"/>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93" w:name="_Hlt26670360"/>
      <w:r>
        <w:rPr>
          <w:color w:val="auto"/>
          <w:highlight w:val="none"/>
        </w:rPr>
      </w:r>
      <w:bookmarkEnd w:id="93"/>
      <w:r>
        <w:rPr>
          <w:color w:val="auto"/>
          <w:highlight w:val="none"/>
        </w:rPr>
      </w:r>
      <w:bookmarkStart w:id="94" w:name="_Hlt26668975"/>
      <w:r>
        <w:rPr>
          <w:color w:val="auto"/>
          <w:highlight w:val="none"/>
        </w:rPr>
      </w:r>
      <w:bookmarkEnd w:id="94"/>
      <w:r>
        <w:rPr>
          <w:color w:val="auto"/>
          <w:highlight w:val="none"/>
        </w:rPr>
      </w:r>
      <w:bookmarkStart w:id="95" w:name="_Hlt26954838"/>
      <w:r>
        <w:rPr>
          <w:color w:val="auto"/>
          <w:highlight w:val="none"/>
        </w:rPr>
      </w:r>
      <w:bookmarkEnd w:id="95"/>
      <w:r>
        <w:rPr>
          <w:color w:val="auto"/>
          <w:highlight w:val="none"/>
        </w:rPr>
      </w:r>
      <w:bookmarkStart w:id="96" w:name="_Toc49090509"/>
      <w:r>
        <w:rPr>
          <w:color w:val="auto"/>
          <w:highlight w:val="none"/>
        </w:rPr>
      </w:r>
      <w:bookmarkStart w:id="97" w:name="_Toc513029219"/>
      <w:r>
        <w:rPr>
          <w:color w:val="auto"/>
          <w:highlight w:val="none"/>
        </w:rPr>
      </w:r>
      <w:bookmarkStart w:id="98" w:name="_Toc14577357"/>
      <w:r>
        <w:rPr>
          <w:color w:val="auto"/>
          <w:highlight w:val="none"/>
        </w:rPr>
      </w:r>
      <w:bookmarkStart w:id="99" w:name="_Toc513029216"/>
      <w:r>
        <w:rPr>
          <w:color w:val="auto"/>
          <w:highlight w:val="none"/>
        </w:rPr>
      </w:r>
      <w:bookmarkStart w:id="100" w:name="_Toc49090507"/>
      <w:r>
        <w:rPr>
          <w:color w:val="auto"/>
          <w:highlight w:val="none"/>
        </w:rPr>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rPr>
          <w:color w:val="auto"/>
          <w:highlight w:val="none"/>
        </w:rPr>
      </w:r>
      <w:bookmarkEnd w:id="97"/>
      <w:r>
        <w:rPr>
          <w:color w:val="auto"/>
          <w:highlight w:val="none"/>
        </w:rPr>
      </w:r>
      <w:bookmarkEnd w:id="98"/>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color w:val="auto"/>
          <w:highlight w:val="none"/>
        </w:rPr>
      </w:r>
      <w:bookmarkEnd w:id="99"/>
      <w:r>
        <w:rPr>
          <w:color w:val="auto"/>
          <w:highlight w:val="none"/>
        </w:rPr>
      </w:r>
      <w:bookmarkEnd w:id="100"/>
      <w:r>
        <w:rPr>
          <w:color w:val="auto"/>
          <w:highlight w:val="none"/>
        </w:rPr>
      </w:r>
      <w:bookmarkEnd w:id="101"/>
      <w:r>
        <w:rPr>
          <w:color w:val="auto"/>
          <w:highlight w:val="none"/>
        </w:rPr>
      </w:r>
      <w:bookmarkStart w:id="102" w:name="_Toc14577355"/>
      <w:r>
        <w:rPr>
          <w:color w:val="auto"/>
          <w:highlight w:val="none"/>
        </w:rPr>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4" w:name="_Toc14577359"/>
      <w:r>
        <w:rPr>
          <w:color w:val="auto"/>
          <w:highlight w:val="none"/>
        </w:rPr>
      </w:r>
      <w:bookmarkStart w:id="105" w:name="_Toc49090510"/>
      <w:r>
        <w:rPr>
          <w:rFonts w:hint="eastAsia" w:ascii="宋体" w:hAnsi="宋体" w:eastAsia="宋体"/>
          <w:bCs w:val="0"/>
          <w:color w:val="auto"/>
          <w:highlight w:val="none"/>
        </w:rPr>
        <w:t xml:space="preserve">12.投标函、承诺书和开标一览表</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w:t>
      </w:r>
      <w:r>
        <w:rPr>
          <w:rFonts w:hint="eastAsia" w:ascii="宋体" w:hAnsi="宋体"/>
          <w:color w:val="auto"/>
          <w:sz w:val="24"/>
          <w:highlight w:val="none"/>
        </w:rPr>
        <w:t xml:space="preserve">，</w:t>
      </w:r>
      <w:r>
        <w:rPr>
          <w:rFonts w:hint="eastAsia" w:ascii="宋体" w:hAnsi="宋体"/>
          <w:color w:val="auto"/>
          <w:sz w:val="24"/>
          <w:highlight w:val="none"/>
        </w:rPr>
        <w:t xml:space="preserve">完整、正确填写投标函、承诺书</w:t>
      </w:r>
      <w:r>
        <w:rPr>
          <w:rFonts w:hint="eastAsia" w:ascii="宋体" w:hAnsi="宋体"/>
          <w:color w:val="auto"/>
          <w:sz w:val="24"/>
          <w:highlight w:val="none"/>
        </w:rPr>
        <w:t xml:space="preserve">；投标人应按照“苏采云”系统中的</w:t>
      </w:r>
      <w:r>
        <w:rPr>
          <w:rFonts w:hint="eastAsia" w:ascii="宋体" w:hAnsi="宋体"/>
          <w:color w:val="auto"/>
          <w:sz w:val="24"/>
          <w:highlight w:val="none"/>
        </w:rPr>
        <w:t xml:space="preserve">给定格式</w:t>
      </w:r>
      <w:r>
        <w:rPr>
          <w:rFonts w:hint="eastAsia" w:ascii="宋体" w:hAnsi="宋体"/>
          <w:color w:val="auto"/>
          <w:sz w:val="24"/>
          <w:highlight w:val="none"/>
        </w:rPr>
        <w:t xml:space="preserve">模块为准，完整、正确填写开标一览表</w:t>
      </w:r>
      <w:r>
        <w:rPr>
          <w:rFonts w:hint="eastAsia" w:ascii="宋体" w:hAnsi="宋体"/>
          <w:color w:val="auto"/>
          <w:sz w:val="24"/>
          <w:highlight w:val="none"/>
        </w:rPr>
        <w:t xml:space="preserve">。</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auto"/>
          <w:sz w:val="24"/>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04"/>
      <w:r>
        <w:rPr>
          <w:color w:val="auto"/>
          <w:highlight w:val="none"/>
        </w:rPr>
      </w:r>
      <w:bookmarkEnd w:id="105"/>
      <w:r>
        <w:rPr>
          <w:rFonts w:hint="eastAsia" w:ascii="宋体" w:hAnsi="宋体" w:eastAsia="宋体"/>
          <w:bCs w:val="0"/>
          <w:color w:val="auto"/>
          <w:highlight w:val="none"/>
        </w:rPr>
        <w:t xml:space="preserve">13.</w:t>
      </w:r>
      <w:bookmarkEnd w:id="102"/>
      <w:r>
        <w:rPr>
          <w:color w:val="auto"/>
          <w:highlight w:val="none"/>
        </w:rPr>
      </w:r>
      <w:bookmarkEnd w:id="103"/>
      <w:r>
        <w:rPr>
          <w:rFonts w:hint="eastAsia" w:ascii="宋体" w:hAnsi="宋体" w:eastAsia="宋体"/>
          <w:bCs w:val="0"/>
          <w:color w:val="auto"/>
          <w:highlight w:val="none"/>
        </w:rPr>
        <w:t xml:space="preserve">分项报价表</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rPr>
          <w:color w:val="auto"/>
          <w:highlight w:val="none"/>
        </w:rPr>
      </w:r>
      <w:bookmarkEnd w:id="106"/>
      <w:r>
        <w:rPr>
          <w:rFonts w:hint="eastAsia" w:ascii="宋体" w:hAnsi="宋体"/>
          <w:color w:val="auto"/>
          <w:sz w:val="24"/>
          <w:highlight w:val="none"/>
        </w:rPr>
        <w:t xml:space="preserve">标人应按照招标文件规定格式填报</w:t>
      </w:r>
      <w:bookmarkStart w:id="107" w:name="_Hlt26670399"/>
      <w:r>
        <w:rPr>
          <w:color w:val="auto"/>
          <w:highlight w:val="none"/>
        </w:rPr>
      </w:r>
      <w:bookmarkEnd w:id="107"/>
      <w:r>
        <w:rPr>
          <w:rFonts w:hint="eastAsia" w:ascii="宋体" w:hAnsi="宋体"/>
          <w:color w:val="auto"/>
          <w:sz w:val="24"/>
          <w:highlight w:val="none"/>
        </w:rPr>
        <w:t xml:space="preserve">分项报价表。</w:t>
      </w:r>
      <w:r>
        <w:rPr>
          <w:rFonts w:hint="eastAsia" w:ascii="宋体" w:hAnsi="宋体"/>
          <w:bCs/>
          <w:color w:val="auto"/>
          <w:sz w:val="24"/>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rPr>
          <w:rFonts w:hint="eastAsia" w:ascii="宋体" w:hAnsi="宋体"/>
          <w:bCs/>
          <w:color w:val="auto"/>
          <w:sz w:val="24"/>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8" w:name="_Hlt26954848"/>
      <w:r>
        <w:rPr>
          <w:color w:val="auto"/>
          <w:highlight w:val="none"/>
        </w:rPr>
      </w:r>
      <w:bookmarkEnd w:id="108"/>
      <w:r>
        <w:rPr>
          <w:color w:val="auto"/>
          <w:highlight w:val="none"/>
        </w:rPr>
      </w:r>
      <w:bookmarkStart w:id="109" w:name="_Hlt26670425"/>
      <w:r>
        <w:rPr>
          <w:color w:val="auto"/>
          <w:highlight w:val="none"/>
        </w:rPr>
      </w:r>
      <w:bookmarkEnd w:id="109"/>
      <w:r>
        <w:rPr>
          <w:color w:val="auto"/>
          <w:highlight w:val="none"/>
        </w:rPr>
      </w:r>
      <w:bookmarkStart w:id="110" w:name="_Hlt26670403"/>
      <w:r>
        <w:rPr>
          <w:color w:val="auto"/>
          <w:highlight w:val="none"/>
        </w:rPr>
      </w:r>
      <w:bookmarkEnd w:id="110"/>
      <w:r>
        <w:rPr>
          <w:color w:val="auto"/>
          <w:highlight w:val="none"/>
        </w:rPr>
      </w:r>
      <w:bookmarkStart w:id="111" w:name="_Hlt26954846"/>
      <w:r>
        <w:rPr>
          <w:color w:val="auto"/>
          <w:highlight w:val="none"/>
        </w:rPr>
      </w:r>
      <w:bookmarkEnd w:id="111"/>
      <w:r>
        <w:rPr>
          <w:color w:val="auto"/>
          <w:highlight w:val="none"/>
        </w:rPr>
      </w:r>
      <w:bookmarkStart w:id="112" w:name="_Hlt26668983"/>
      <w:r>
        <w:rPr>
          <w:color w:val="auto"/>
          <w:highlight w:val="none"/>
        </w:rPr>
      </w:r>
      <w:bookmarkEnd w:id="112"/>
      <w:r>
        <w:rPr>
          <w:color w:val="auto"/>
          <w:highlight w:val="none"/>
        </w:rPr>
      </w:r>
      <w:bookmarkStart w:id="113" w:name="_Hlt26954731"/>
      <w:r>
        <w:rPr>
          <w:color w:val="auto"/>
          <w:highlight w:val="none"/>
        </w:rPr>
      </w:r>
      <w:bookmarkEnd w:id="113"/>
      <w:r>
        <w:rPr>
          <w:color w:val="auto"/>
          <w:highlight w:val="none"/>
        </w:rPr>
      </w:r>
      <w:bookmarkStart w:id="114" w:name="_Hlt26670486"/>
      <w:r>
        <w:rPr>
          <w:color w:val="auto"/>
          <w:highlight w:val="none"/>
        </w:rPr>
      </w:r>
      <w:bookmarkEnd w:id="114"/>
      <w:r>
        <w:rPr>
          <w:color w:val="auto"/>
          <w:highlight w:val="none"/>
        </w:rPr>
      </w:r>
      <w:bookmarkStart w:id="115" w:name="_Hlt26954842"/>
      <w:r>
        <w:rPr>
          <w:color w:val="auto"/>
          <w:highlight w:val="none"/>
        </w:rPr>
      </w:r>
      <w:bookmarkEnd w:id="115"/>
      <w:r>
        <w:rPr>
          <w:color w:val="auto"/>
          <w:highlight w:val="none"/>
        </w:rPr>
      </w:r>
      <w:bookmarkStart w:id="116" w:name="_Hlt26954844"/>
      <w:r>
        <w:rPr>
          <w:color w:val="auto"/>
          <w:highlight w:val="none"/>
        </w:rPr>
      </w:r>
      <w:bookmarkEnd w:id="116"/>
      <w:r>
        <w:rPr>
          <w:color w:val="auto"/>
          <w:highlight w:val="none"/>
        </w:rPr>
      </w:r>
      <w:bookmarkStart w:id="117" w:name="_Hlt26670482"/>
      <w:r>
        <w:rPr>
          <w:color w:val="auto"/>
          <w:highlight w:val="none"/>
        </w:rPr>
      </w:r>
      <w:bookmarkEnd w:id="117"/>
      <w:r>
        <w:rPr>
          <w:rFonts w:hint="eastAsia" w:ascii="宋体" w:hAnsi="宋体" w:eastAsia="宋体"/>
          <w:bCs w:val="0"/>
          <w:color w:val="auto"/>
          <w:highlight w:val="none"/>
        </w:rPr>
        <w:t xml:space="preserve">14.投标偏离表</w:t>
      </w:r>
      <w:r>
        <w:rPr>
          <w:color w:val="auto"/>
          <w:highlight w:val="none"/>
        </w:rPr>
      </w:r>
    </w:p>
    <w:p>
      <w:pPr>
        <w:pStyle w:val="905"/>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rPr>
          <w:rFonts w:ascii="宋体" w:hAnsi="Arial" w:cs="宋体"/>
          <w:color w:val="auto"/>
          <w:sz w:val="24"/>
          <w:highlight w:val="none"/>
          <w:lang w:val="zh-CN"/>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18" w:name="_Hlt26954734"/>
      <w:r>
        <w:rPr>
          <w:color w:val="auto"/>
          <w:highlight w:val="none"/>
        </w:rPr>
      </w:r>
      <w:bookmarkEnd w:id="118"/>
      <w:r>
        <w:rPr>
          <w:color w:val="auto"/>
          <w:highlight w:val="none"/>
        </w:rPr>
      </w:r>
      <w:bookmarkStart w:id="119" w:name="_Hlt26670489"/>
      <w:r>
        <w:rPr>
          <w:color w:val="auto"/>
          <w:highlight w:val="none"/>
        </w:rPr>
      </w:r>
      <w:bookmarkEnd w:id="119"/>
      <w:r>
        <w:rPr>
          <w:color w:val="auto"/>
          <w:highlight w:val="none"/>
        </w:rPr>
      </w:r>
      <w:bookmarkStart w:id="120" w:name="_Hlt26954850"/>
      <w:r>
        <w:rPr>
          <w:color w:val="auto"/>
          <w:highlight w:val="none"/>
        </w:rPr>
      </w:r>
      <w:bookmarkEnd w:id="120"/>
      <w:r>
        <w:rPr>
          <w:color w:val="auto"/>
          <w:highlight w:val="none"/>
        </w:rPr>
      </w:r>
      <w:bookmarkStart w:id="121" w:name="_Toc49090511"/>
      <w:r>
        <w:rPr>
          <w:color w:val="auto"/>
          <w:highlight w:val="none"/>
        </w:rPr>
      </w:r>
      <w:bookmarkStart w:id="122" w:name="_Toc14577360"/>
      <w:r>
        <w:rPr>
          <w:rFonts w:hint="eastAsia" w:ascii="宋体" w:hAnsi="宋体" w:eastAsia="宋体"/>
          <w:bCs w:val="0"/>
          <w:color w:val="auto"/>
          <w:highlight w:val="none"/>
        </w:rPr>
        <w:t xml:space="preserve">15.投标有效期</w:t>
      </w:r>
      <w:bookmarkEnd w:id="121"/>
      <w:r>
        <w:rPr>
          <w:color w:val="auto"/>
          <w:highlight w:val="none"/>
        </w:rPr>
      </w:r>
      <w:bookmarkEnd w:id="122"/>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rPr>
          <w:color w:val="auto"/>
          <w:highlight w:val="none"/>
        </w:rPr>
      </w:r>
    </w:p>
    <w:p>
      <w:pPr>
        <w:pStyle w:val="908"/>
        <w:ind w:firstLine="452"/>
        <w:keepLines w:val="0"/>
        <w:keepNext w:val="0"/>
        <w:spacing w:before="0" w:after="0" w:line="500" w:lineRule="exact"/>
        <w:rPr>
          <w:rFonts w:hint="eastAsia"/>
          <w:color w:val="auto"/>
          <w:sz w:val="30"/>
          <w:szCs w:val="30"/>
          <w:highlight w:val="none"/>
        </w:rPr>
      </w:pPr>
      <w:r>
        <w:rPr>
          <w:color w:val="auto"/>
          <w:highlight w:val="none"/>
        </w:rPr>
      </w:r>
      <w:bookmarkStart w:id="123" w:name="_Hlt26954852"/>
      <w:r>
        <w:rPr>
          <w:color w:val="auto"/>
          <w:highlight w:val="none"/>
        </w:rPr>
      </w:r>
      <w:bookmarkEnd w:id="123"/>
      <w:r>
        <w:rPr>
          <w:color w:val="auto"/>
          <w:highlight w:val="none"/>
        </w:rPr>
      </w:r>
      <w:bookmarkStart w:id="124" w:name="_Hlt26954739"/>
      <w:r>
        <w:rPr>
          <w:color w:val="auto"/>
          <w:highlight w:val="none"/>
        </w:rPr>
      </w:r>
      <w:bookmarkEnd w:id="124"/>
      <w:r>
        <w:rPr>
          <w:color w:val="auto"/>
          <w:highlight w:val="none"/>
        </w:rPr>
      </w:r>
      <w:bookmarkStart w:id="125" w:name="_Toc16938540"/>
      <w:r>
        <w:rPr>
          <w:color w:val="auto"/>
          <w:highlight w:val="none"/>
        </w:rPr>
      </w:r>
      <w:bookmarkStart w:id="126" w:name="_Toc20823296"/>
      <w:r>
        <w:rPr>
          <w:color w:val="auto"/>
          <w:highlight w:val="none"/>
        </w:rPr>
      </w:r>
      <w:bookmarkStart w:id="127" w:name="_Toc120614217"/>
      <w:r>
        <w:rPr>
          <w:color w:val="auto"/>
          <w:highlight w:val="none"/>
        </w:rPr>
      </w:r>
      <w:bookmarkStart w:id="128" w:name="_Toc513029224"/>
      <w:r>
        <w:rPr>
          <w:rFonts w:hint="eastAsia"/>
          <w:color w:val="auto"/>
          <w:sz w:val="30"/>
          <w:szCs w:val="30"/>
          <w:highlight w:val="none"/>
        </w:rPr>
        <w:t xml:space="preserve">四、投标文件的递交</w:t>
      </w:r>
      <w:bookmarkEnd w:id="125"/>
      <w:r>
        <w:rPr>
          <w:color w:val="auto"/>
          <w:highlight w:val="none"/>
        </w:rPr>
      </w:r>
      <w:bookmarkEnd w:id="126"/>
      <w:r>
        <w:rPr>
          <w:color w:val="auto"/>
          <w:highlight w:val="none"/>
        </w:rPr>
      </w:r>
      <w:bookmarkEnd w:id="127"/>
      <w:r>
        <w:rPr>
          <w:color w:val="auto"/>
          <w:highlight w:val="none"/>
        </w:rPr>
      </w:r>
      <w:bookmarkEnd w:id="128"/>
      <w:r>
        <w:rPr>
          <w:rFonts w:hint="eastAsia"/>
          <w:color w:val="auto"/>
          <w:sz w:val="30"/>
          <w:szCs w:val="30"/>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29" w:name="_Toc16938541"/>
      <w:r>
        <w:rPr>
          <w:color w:val="auto"/>
          <w:highlight w:val="none"/>
        </w:rPr>
      </w:r>
      <w:bookmarkStart w:id="130" w:name="_Toc462564084"/>
      <w:r>
        <w:rPr>
          <w:color w:val="auto"/>
          <w:highlight w:val="none"/>
        </w:rPr>
      </w:r>
      <w:bookmarkStart w:id="131" w:name="_Toc20823297"/>
      <w:r>
        <w:rPr>
          <w:color w:val="auto"/>
          <w:highlight w:val="none"/>
        </w:rPr>
      </w:r>
      <w:bookmarkStart w:id="132" w:name="_Toc513029225"/>
      <w:r>
        <w:rPr>
          <w:rFonts w:hint="eastAsia" w:ascii="宋体" w:hAnsi="宋体" w:eastAsia="宋体"/>
          <w:bCs w:val="0"/>
          <w:color w:val="auto"/>
          <w:highlight w:val="none"/>
        </w:rPr>
        <w:t xml:space="preserve">17.投标文件</w:t>
      </w:r>
      <w:bookmarkEnd w:id="129"/>
      <w:r>
        <w:rPr>
          <w:color w:val="auto"/>
          <w:highlight w:val="none"/>
        </w:rPr>
      </w:r>
      <w:bookmarkEnd w:id="130"/>
      <w:r>
        <w:rPr>
          <w:color w:val="auto"/>
          <w:highlight w:val="none"/>
        </w:rPr>
      </w:r>
      <w:bookmarkEnd w:id="131"/>
      <w:r>
        <w:rPr>
          <w:color w:val="auto"/>
          <w:highlight w:val="none"/>
        </w:rPr>
      </w:r>
      <w:bookmarkEnd w:id="132"/>
      <w:r>
        <w:rPr>
          <w:rFonts w:hint="eastAsia" w:ascii="宋体" w:hAnsi="宋体" w:eastAsia="宋体"/>
          <w:bCs w:val="0"/>
          <w:color w:val="auto"/>
          <w:highlight w:val="none"/>
        </w:rPr>
        <w:t xml:space="preserve">的递交</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rPr>
          <w:color w:val="auto"/>
          <w:highlight w:val="none"/>
        </w:rPr>
      </w:r>
    </w:p>
    <w:p>
      <w:pPr>
        <w:pStyle w:val="1018"/>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rPr>
          <w:color w:val="auto"/>
          <w:highlight w:val="none"/>
        </w:rPr>
      </w:r>
      <w:bookmarkStart w:id="134" w:name="_Toc20823298"/>
      <w:r>
        <w:rPr>
          <w:color w:val="auto"/>
          <w:highlight w:val="none"/>
        </w:rPr>
      </w:r>
      <w:bookmarkStart w:id="135" w:name="_Toc16938542"/>
      <w:r>
        <w:rPr>
          <w:rFonts w:hint="eastAsia" w:ascii="宋体" w:hAnsi="宋体"/>
          <w:bCs/>
          <w:color w:val="auto"/>
          <w:sz w:val="24"/>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rPr>
          <w:color w:val="auto"/>
          <w:highlight w:val="none"/>
        </w:rPr>
      </w:r>
      <w:bookmarkEnd w:id="134"/>
      <w:r>
        <w:rPr>
          <w:color w:val="auto"/>
          <w:highlight w:val="none"/>
        </w:rPr>
      </w:r>
      <w:bookmarkEnd w:id="135"/>
      <w:r>
        <w:rPr>
          <w:rFonts w:hint="eastAsia" w:ascii="宋体" w:hAnsi="宋体" w:eastAsia="宋体"/>
          <w:bCs w:val="0"/>
          <w:color w:val="auto"/>
          <w:highlight w:val="none"/>
        </w:rPr>
        <w:t xml:space="preserve">时间</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6" w:name="_Toc20823299"/>
      <w:r>
        <w:rPr>
          <w:color w:val="auto"/>
          <w:highlight w:val="none"/>
        </w:rPr>
      </w:r>
      <w:bookmarkStart w:id="137" w:name="_Toc16938543"/>
      <w:r>
        <w:rPr>
          <w:color w:val="auto"/>
          <w:highlight w:val="none"/>
        </w:rPr>
      </w:r>
      <w:bookmarkStart w:id="138" w:name="_Toc513029227"/>
      <w:r>
        <w:rPr>
          <w:rFonts w:hint="eastAsia" w:ascii="宋体" w:hAnsi="宋体" w:eastAsia="宋体"/>
          <w:bCs w:val="0"/>
          <w:color w:val="auto"/>
          <w:highlight w:val="none"/>
        </w:rPr>
        <w:t xml:space="preserve">19.投标文件</w:t>
      </w:r>
      <w:bookmarkEnd w:id="136"/>
      <w:r>
        <w:rPr>
          <w:color w:val="auto"/>
          <w:highlight w:val="none"/>
        </w:rPr>
      </w:r>
      <w:bookmarkEnd w:id="137"/>
      <w:r>
        <w:rPr>
          <w:color w:val="auto"/>
          <w:highlight w:val="none"/>
        </w:rPr>
      </w:r>
      <w:bookmarkEnd w:id="138"/>
      <w:r>
        <w:rPr>
          <w:rFonts w:hint="eastAsia" w:ascii="宋体" w:hAnsi="宋体" w:eastAsia="宋体"/>
          <w:bCs w:val="0"/>
          <w:color w:val="auto"/>
          <w:highlight w:val="none"/>
        </w:rPr>
        <w:t xml:space="preserve">的拒收</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9" w:name="_Toc16938544"/>
      <w:r>
        <w:rPr>
          <w:color w:val="auto"/>
          <w:highlight w:val="none"/>
        </w:rPr>
      </w:r>
      <w:bookmarkStart w:id="140" w:name="_Toc513029228"/>
      <w:r>
        <w:rPr>
          <w:color w:val="auto"/>
          <w:highlight w:val="none"/>
        </w:rPr>
      </w:r>
      <w:bookmarkStart w:id="141" w:name="_Toc20823300"/>
      <w:r>
        <w:rPr>
          <w:rFonts w:hint="eastAsia" w:ascii="宋体" w:hAnsi="宋体" w:eastAsia="宋体"/>
          <w:bCs w:val="0"/>
          <w:color w:val="auto"/>
          <w:highlight w:val="none"/>
        </w:rPr>
        <w:t xml:space="preserve">20.投标文件的撤回和修改</w:t>
      </w:r>
      <w:bookmarkEnd w:id="139"/>
      <w:r>
        <w:rPr>
          <w:color w:val="auto"/>
          <w:highlight w:val="none"/>
        </w:rPr>
      </w:r>
      <w:bookmarkEnd w:id="140"/>
      <w:r>
        <w:rPr>
          <w:color w:val="auto"/>
          <w:highlight w:val="none"/>
        </w:rPr>
      </w:r>
      <w:bookmarkEnd w:id="141"/>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rPr>
          <w:color w:val="auto"/>
          <w:highlight w:val="none"/>
        </w:rPr>
      </w:r>
    </w:p>
    <w:p>
      <w:pPr>
        <w:pStyle w:val="908"/>
        <w:ind w:firstLine="452"/>
        <w:keepLines w:val="0"/>
        <w:keepNext w:val="0"/>
        <w:spacing w:before="0" w:after="0" w:line="500" w:lineRule="exact"/>
        <w:rPr>
          <w:rFonts w:hint="eastAsia"/>
          <w:color w:val="auto"/>
          <w:sz w:val="30"/>
          <w:szCs w:val="30"/>
          <w:highlight w:val="none"/>
        </w:rPr>
      </w:pPr>
      <w:r>
        <w:rPr>
          <w:color w:val="auto"/>
          <w:highlight w:val="none"/>
        </w:rPr>
      </w:r>
      <w:bookmarkStart w:id="142" w:name="_Toc16938545"/>
      <w:r>
        <w:rPr>
          <w:color w:val="auto"/>
          <w:highlight w:val="none"/>
        </w:rPr>
      </w:r>
      <w:bookmarkStart w:id="143" w:name="_Toc120614218"/>
      <w:r>
        <w:rPr>
          <w:color w:val="auto"/>
          <w:highlight w:val="none"/>
        </w:rPr>
      </w:r>
      <w:bookmarkStart w:id="144" w:name="_Toc20823301"/>
      <w:r>
        <w:rPr>
          <w:color w:val="auto"/>
          <w:highlight w:val="none"/>
        </w:rPr>
      </w:r>
      <w:bookmarkStart w:id="145" w:name="_Toc513029229"/>
      <w:r>
        <w:rPr>
          <w:rFonts w:hint="eastAsia"/>
          <w:color w:val="auto"/>
          <w:sz w:val="30"/>
          <w:szCs w:val="30"/>
          <w:highlight w:val="none"/>
        </w:rPr>
        <w:t xml:space="preserve">五、开标与评标</w:t>
      </w:r>
      <w:bookmarkEnd w:id="142"/>
      <w:r>
        <w:rPr>
          <w:color w:val="auto"/>
          <w:highlight w:val="none"/>
        </w:rPr>
      </w:r>
      <w:bookmarkEnd w:id="143"/>
      <w:r>
        <w:rPr>
          <w:color w:val="auto"/>
          <w:highlight w:val="none"/>
        </w:rPr>
      </w:r>
      <w:bookmarkEnd w:id="144"/>
      <w:r>
        <w:rPr>
          <w:color w:val="auto"/>
          <w:highlight w:val="none"/>
        </w:rPr>
      </w:r>
      <w:bookmarkEnd w:id="145"/>
      <w:r>
        <w:rPr>
          <w:rFonts w:hint="eastAsia"/>
          <w:color w:val="auto"/>
          <w:sz w:val="30"/>
          <w:szCs w:val="30"/>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6" w:name="_Toc16938546"/>
      <w:r>
        <w:rPr>
          <w:color w:val="auto"/>
          <w:highlight w:val="none"/>
        </w:rPr>
      </w:r>
      <w:bookmarkStart w:id="147" w:name="_Toc513029230"/>
      <w:r>
        <w:rPr>
          <w:color w:val="auto"/>
          <w:highlight w:val="none"/>
        </w:rPr>
      </w:r>
      <w:bookmarkStart w:id="148" w:name="_Toc20823302"/>
      <w:r>
        <w:rPr>
          <w:rFonts w:hint="eastAsia" w:ascii="宋体" w:hAnsi="宋体" w:eastAsia="宋体"/>
          <w:bCs w:val="0"/>
          <w:color w:val="auto"/>
          <w:highlight w:val="none"/>
        </w:rPr>
        <w:t xml:space="preserve">21.开标</w:t>
      </w:r>
      <w:bookmarkEnd w:id="146"/>
      <w:r>
        <w:rPr>
          <w:color w:val="auto"/>
          <w:highlight w:val="none"/>
        </w:rPr>
      </w:r>
      <w:bookmarkEnd w:id="147"/>
      <w:r>
        <w:rPr>
          <w:color w:val="auto"/>
          <w:highlight w:val="none"/>
        </w:rPr>
      </w:r>
      <w:bookmarkEnd w:id="148"/>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rPr>
          <w:rFonts w:hint="eastAsia"/>
          <w:color w:val="auto"/>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rPr>
        <w:t xml:space="preserve">涉及</w:t>
      </w:r>
      <w:r>
        <w:rPr>
          <w:rFonts w:hint="eastAsia" w:ascii="宋体" w:hAnsi="宋体"/>
          <w:color w:val="auto"/>
          <w:sz w:val="24"/>
          <w:highlight w:val="none"/>
        </w:rPr>
        <w:t xml:space="preserve">的投标文件解密、开标结果确认等工作，应按照《操作手册》规定执行。</w:t>
      </w:r>
      <w:r>
        <w:rPr>
          <w:color w:val="auto"/>
          <w:highlight w:val="none"/>
        </w:rPr>
      </w:r>
    </w:p>
    <w:p>
      <w:pPr>
        <w:pStyle w:val="905"/>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rFonts w:ascii="宋体" w:hAnsi="宋体"/>
          <w:color w:val="auto"/>
          <w:sz w:val="24"/>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9" w:name="_Toc20823303"/>
      <w:r>
        <w:rPr>
          <w:color w:val="auto"/>
          <w:highlight w:val="none"/>
        </w:rPr>
      </w:r>
      <w:bookmarkStart w:id="150" w:name="_Toc513029231"/>
      <w:r>
        <w:rPr>
          <w:color w:val="auto"/>
          <w:highlight w:val="none"/>
        </w:rPr>
      </w:r>
      <w:bookmarkStart w:id="151" w:name="_Toc16938547"/>
      <w:r>
        <w:rPr>
          <w:rFonts w:hint="eastAsia" w:ascii="宋体" w:hAnsi="宋体" w:eastAsia="宋体"/>
          <w:bCs w:val="0"/>
          <w:color w:val="auto"/>
          <w:highlight w:val="none"/>
        </w:rPr>
        <w:t xml:space="preserve">22.评标委员会</w:t>
      </w:r>
      <w:r>
        <w:rPr>
          <w:color w:val="auto"/>
          <w:highlight w:val="none"/>
        </w:rPr>
      </w:r>
    </w:p>
    <w:p>
      <w:pPr>
        <w:pStyle w:val="905"/>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rPr>
          <w:rFonts w:hint="eastAsia" w:ascii="宋体" w:hAnsi="宋体"/>
          <w:b/>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w:t>
      </w:r>
      <w:r>
        <w:rPr>
          <w:rFonts w:hint="eastAsia" w:ascii="宋体" w:hAnsi="宋体"/>
          <w:color w:val="auto"/>
          <w:sz w:val="24"/>
          <w:szCs w:val="24"/>
          <w:highlight w:val="none"/>
        </w:rPr>
        <w:t xml:space="preserve">负责对招标</w:t>
      </w:r>
      <w:r>
        <w:rPr>
          <w:rFonts w:hint="eastAsia" w:ascii="宋体" w:hAnsi="宋体"/>
          <w:color w:val="auto"/>
          <w:sz w:val="24"/>
          <w:highlight w:val="none"/>
        </w:rPr>
        <w:t xml:space="preserve">文件进行审核，确认其不存在歧视性、排他性等不合理条款后，开始</w:t>
      </w:r>
      <w:r>
        <w:rPr>
          <w:rFonts w:hint="eastAsia" w:ascii="宋体" w:hAnsi="宋体"/>
          <w:color w:val="auto"/>
          <w:sz w:val="24"/>
          <w:szCs w:val="24"/>
          <w:highlight w:val="none"/>
        </w:rPr>
        <w:t xml:space="preserve">负责评审所有投标文件并确定中标</w:t>
      </w:r>
      <w:r>
        <w:rPr>
          <w:rFonts w:hint="eastAsia" w:ascii="宋体" w:hAnsi="宋体"/>
          <w:color w:val="auto"/>
          <w:sz w:val="24"/>
          <w:szCs w:val="24"/>
          <w:highlight w:val="none"/>
        </w:rPr>
        <w:t xml:space="preserve">候选人</w:t>
      </w:r>
      <w:r>
        <w:rPr>
          <w:rFonts w:hint="eastAsia" w:ascii="宋体" w:hAnsi="宋体"/>
          <w:color w:val="auto"/>
          <w:sz w:val="24"/>
          <w:szCs w:val="24"/>
          <w:highlight w:val="none"/>
        </w:rPr>
        <w:t xml:space="preserve">。</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r>
        <w:rPr>
          <w:color w:val="auto"/>
          <w:highlight w:val="none"/>
        </w:rPr>
      </w:r>
    </w:p>
    <w:p>
      <w:pPr>
        <w:pStyle w:val="905"/>
        <w:ind w:firstLine="480"/>
        <w:spacing w:line="500" w:lineRule="exact"/>
        <w:rPr>
          <w:rFonts w:hint="eastAsia" w:ascii="宋体" w:hAnsi="宋体"/>
          <w:bCs/>
          <w:color w:val="auto"/>
          <w:sz w:val="24"/>
          <w:highlight w:val="none"/>
        </w:rPr>
      </w:pPr>
      <w:r>
        <w:rPr>
          <w:color w:val="auto"/>
          <w:highlight w:val="none"/>
        </w:rPr>
      </w:r>
      <w:bookmarkEnd w:id="149"/>
      <w:r>
        <w:rPr>
          <w:color w:val="auto"/>
          <w:highlight w:val="none"/>
        </w:rPr>
      </w:r>
      <w:bookmarkEnd w:id="150"/>
      <w:r>
        <w:rPr>
          <w:color w:val="auto"/>
          <w:highlight w:val="none"/>
        </w:rPr>
      </w:r>
      <w:bookmarkEnd w:id="151"/>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rPr>
          <w:rFonts w:hint="eastAsia" w:ascii="宋体" w:hAnsi="宋体"/>
          <w:color w:val="auto"/>
          <w:sz w:val="24"/>
          <w:szCs w:val="24"/>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2" w:name="_Toc513029232"/>
      <w:r>
        <w:rPr>
          <w:color w:val="auto"/>
          <w:highlight w:val="none"/>
        </w:rPr>
      </w:r>
      <w:bookmarkStart w:id="153" w:name="_Toc16938548"/>
      <w:r>
        <w:rPr>
          <w:color w:val="auto"/>
          <w:highlight w:val="none"/>
        </w:rPr>
      </w:r>
      <w:bookmarkStart w:id="154" w:name="_Toc20823304"/>
      <w:r>
        <w:rPr>
          <w:rFonts w:hint="eastAsia" w:ascii="宋体" w:hAnsi="宋体" w:eastAsia="宋体"/>
          <w:bCs w:val="0"/>
          <w:color w:val="auto"/>
          <w:highlight w:val="none"/>
        </w:rPr>
        <w:t xml:space="preserve">24.投标文件的澄清</w:t>
      </w:r>
      <w:bookmarkEnd w:id="152"/>
      <w:r>
        <w:rPr>
          <w:color w:val="auto"/>
          <w:highlight w:val="none"/>
        </w:rPr>
      </w:r>
      <w:bookmarkEnd w:id="153"/>
      <w:r>
        <w:rPr>
          <w:color w:val="auto"/>
          <w:highlight w:val="none"/>
        </w:rPr>
      </w:r>
      <w:bookmarkEnd w:id="154"/>
      <w:r>
        <w:rPr>
          <w:rFonts w:hint="eastAsia" w:ascii="宋体" w:hAnsi="宋体" w:eastAsia="宋体"/>
          <w:bCs w:val="0"/>
          <w:color w:val="auto"/>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auto"/>
          <w:sz w:val="24"/>
          <w:szCs w:val="24"/>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rPr>
          <w:rFonts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rPr>
        <w:t xml:space="preserve">及时</w:t>
      </w:r>
      <w:r>
        <w:rPr>
          <w:rFonts w:hint="eastAsia" w:ascii="宋体" w:hAnsi="宋体"/>
          <w:color w:val="auto"/>
          <w:sz w:val="24"/>
          <w:szCs w:val="24"/>
          <w:highlight w:val="none"/>
        </w:rPr>
        <w:t xml:space="preserve">做出澄清、说明和补正，其风险由投标人自行承担。</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5" w:name="_Toc513029233"/>
      <w:r>
        <w:rPr>
          <w:color w:val="auto"/>
          <w:highlight w:val="none"/>
        </w:rPr>
      </w:r>
      <w:bookmarkStart w:id="156" w:name="_Toc20823305"/>
      <w:r>
        <w:rPr>
          <w:color w:val="auto"/>
          <w:highlight w:val="none"/>
        </w:rPr>
      </w:r>
      <w:bookmarkStart w:id="157" w:name="_Toc16938549"/>
      <w:r>
        <w:rPr>
          <w:rFonts w:hint="eastAsia" w:ascii="宋体" w:hAnsi="宋体" w:eastAsia="宋体"/>
          <w:bCs w:val="0"/>
          <w:color w:val="auto"/>
          <w:highlight w:val="none"/>
        </w:rPr>
        <w:t xml:space="preserve">25.对投标文件的初审</w:t>
      </w:r>
      <w:bookmarkEnd w:id="155"/>
      <w:r>
        <w:rPr>
          <w:color w:val="auto"/>
          <w:highlight w:val="none"/>
        </w:rPr>
      </w:r>
      <w:bookmarkEnd w:id="156"/>
      <w:r>
        <w:rPr>
          <w:color w:val="auto"/>
          <w:highlight w:val="none"/>
        </w:rPr>
      </w:r>
      <w:bookmarkEnd w:id="157"/>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rPr>
          <w:color w:val="auto"/>
          <w:highlight w:val="none"/>
        </w:rPr>
      </w:r>
    </w:p>
    <w:p>
      <w:pPr>
        <w:pStyle w:val="905"/>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auto"/>
          <w:sz w:val="24"/>
          <w:highlight w:val="none"/>
        </w:rPr>
        <w:t xml:space="preserve">不良信用</w:t>
      </w:r>
      <w:r>
        <w:rPr>
          <w:rFonts w:hint="eastAsia" w:ascii="宋体" w:hAnsi="宋体"/>
          <w:bCs/>
          <w:color w:val="auto"/>
          <w:sz w:val="24"/>
          <w:highlight w:val="none"/>
        </w:rPr>
        <w:t xml:space="preserve">记录。</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rPr>
          <w:rFonts w:hint="eastAsia" w:ascii="宋体" w:hAnsi="宋体"/>
          <w:bCs/>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p>
    <w:p>
      <w:pPr>
        <w:pStyle w:val="905"/>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auto"/>
          <w:sz w:val="24"/>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rPr>
          <w:color w:val="auto"/>
          <w:highlight w:val="none"/>
        </w:rPr>
      </w:r>
    </w:p>
    <w:p>
      <w:pPr>
        <w:pStyle w:val="905"/>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rPr>
          <w:rFonts w:ascii="宋体" w:hAnsi="宋体"/>
          <w:bCs/>
          <w:color w:val="auto"/>
          <w:sz w:val="24"/>
          <w:highlight w:val="none"/>
        </w:rPr>
      </w:r>
      <w:r>
        <w:rPr>
          <w:color w:val="auto"/>
          <w:highlight w:val="none"/>
        </w:rPr>
      </w:r>
    </w:p>
    <w:p>
      <w:pPr>
        <w:pStyle w:val="905"/>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rPr>
          <w:rFonts w:ascii="宋体" w:hAnsi="宋体"/>
          <w:bCs/>
          <w:color w:val="auto"/>
          <w:sz w:val="24"/>
          <w:highlight w:val="none"/>
        </w:rPr>
      </w:r>
      <w:r>
        <w:rPr>
          <w:color w:val="auto"/>
          <w:highlight w:val="none"/>
        </w:rPr>
      </w:r>
    </w:p>
    <w:p>
      <w:pPr>
        <w:pStyle w:val="905"/>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rPr>
          <w:rFonts w:ascii="宋体" w:hAnsi="宋体"/>
          <w:bCs/>
          <w:color w:val="auto"/>
          <w:sz w:val="24"/>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rPr>
          <w:color w:val="auto"/>
          <w:highlight w:val="none"/>
        </w:rPr>
      </w:r>
    </w:p>
    <w:p>
      <w:pPr>
        <w:pStyle w:val="905"/>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rPr>
          <w:rFonts w:ascii="宋体" w:hAnsi="宋体"/>
          <w:bCs/>
          <w:color w:val="auto"/>
          <w:sz w:val="24"/>
          <w:highlight w:val="none"/>
        </w:rPr>
      </w:r>
      <w:r>
        <w:rPr>
          <w:color w:val="auto"/>
          <w:highlight w:val="none"/>
        </w:rPr>
      </w:r>
    </w:p>
    <w:p>
      <w:pPr>
        <w:pStyle w:val="905"/>
        <w:ind w:firstLine="420"/>
        <w:spacing w:line="500" w:lineRule="exact"/>
        <w:rPr>
          <w:rFonts w:hint="eastAsia" w:ascii="宋体" w:hAnsi="宋体"/>
          <w:color w:val="auto"/>
          <w:sz w:val="24"/>
          <w:highlight w:val="none"/>
        </w:rPr>
      </w:pPr>
      <w:r>
        <w:rPr>
          <w:color w:val="auto"/>
          <w:highlight w:val="none"/>
        </w:rPr>
      </w:r>
      <w:bookmarkStart w:id="158" w:name="_Toc16938550"/>
      <w:r>
        <w:rPr>
          <w:color w:val="auto"/>
          <w:highlight w:val="none"/>
        </w:rPr>
      </w:r>
      <w:bookmarkStart w:id="159" w:name="_Toc513029234"/>
      <w:r>
        <w:rPr>
          <w:color w:val="auto"/>
          <w:highlight w:val="none"/>
        </w:rPr>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rPr>
          <w:color w:val="auto"/>
          <w:highlight w:val="none"/>
        </w:rPr>
      </w:r>
      <w:bookmarkEnd w:id="159"/>
      <w:r>
        <w:rPr>
          <w:color w:val="auto"/>
          <w:highlight w:val="none"/>
        </w:rPr>
      </w:r>
      <w:bookmarkEnd w:id="160"/>
      <w:r>
        <w:rPr>
          <w:rFonts w:hint="eastAsia" w:ascii="宋体" w:hAnsi="宋体" w:eastAsia="宋体"/>
          <w:bCs w:val="0"/>
          <w:color w:val="auto"/>
          <w:highlight w:val="none"/>
        </w:rPr>
        <w:t xml:space="preserve">.无效投标条款和废标条款</w:t>
      </w:r>
      <w:r>
        <w:rPr>
          <w:color w:val="auto"/>
          <w:highlight w:val="none"/>
        </w:rPr>
      </w:r>
    </w:p>
    <w:p>
      <w:pPr>
        <w:pStyle w:val="905"/>
        <w:ind w:left="479"/>
        <w:spacing w:line="500" w:lineRule="exact"/>
        <w:rPr>
          <w:rFonts w:hint="eastAsia" w:ascii="宋体" w:hAnsi="宋体"/>
          <w:bCs/>
          <w:color w:val="auto"/>
          <w:sz w:val="24"/>
          <w:highlight w:val="none"/>
        </w:rPr>
      </w:pPr>
      <w:r>
        <w:rPr>
          <w:color w:val="auto"/>
          <w:highlight w:val="none"/>
        </w:rPr>
      </w:r>
      <w:bookmarkStart w:id="161" w:name="_Toc20823307"/>
      <w:r>
        <w:rPr>
          <w:color w:val="auto"/>
          <w:highlight w:val="none"/>
        </w:rPr>
      </w:r>
      <w:bookmarkStart w:id="162" w:name="_Toc513029235"/>
      <w:r>
        <w:rPr>
          <w:color w:val="auto"/>
          <w:highlight w:val="none"/>
        </w:rPr>
      </w:r>
      <w:bookmarkStart w:id="163" w:name="_Toc16938551"/>
      <w:r>
        <w:rPr>
          <w:rFonts w:hint="eastAsia" w:ascii="宋体" w:hAnsi="宋体"/>
          <w:bCs/>
          <w:color w:val="auto"/>
          <w:sz w:val="24"/>
          <w:highlight w:val="none"/>
        </w:rPr>
        <w:t xml:space="preserve">26.1无效投标条款</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rPr>
          <w:rFonts w:hint="eastAsia" w:ascii="宋体" w:hAnsi="宋体"/>
          <w:bCs/>
          <w:color w:val="auto"/>
          <w:sz w:val="24"/>
          <w:szCs w:val="24"/>
          <w:highlight w:val="none"/>
        </w:rPr>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w:t>
      </w:r>
      <w:r>
        <w:rPr>
          <w:rFonts w:hint="eastAsia" w:ascii="宋体" w:hAnsi="宋体"/>
          <w:bCs/>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（含两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）以上不同的投标报价的。</w:t>
      </w:r>
      <w:r>
        <w:rPr>
          <w:rFonts w:hint="eastAsia" w:ascii="宋体" w:hAnsi="宋体"/>
          <w:bCs/>
          <w:color w:val="auto"/>
          <w:sz w:val="24"/>
          <w:szCs w:val="24"/>
          <w:highlight w:val="none"/>
        </w:rPr>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rPr>
          <w:rFonts w:hint="eastAsia" w:ascii="宋体" w:hAnsi="宋体"/>
          <w:bCs/>
          <w:color w:val="auto"/>
          <w:sz w:val="24"/>
          <w:szCs w:val="24"/>
          <w:highlight w:val="none"/>
        </w:rPr>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采购包、</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标段）投标总价超过本项目（</w:t>
      </w:r>
      <w:r>
        <w:rPr>
          <w:rFonts w:hint="eastAsia" w:ascii="宋体" w:hAnsi="宋体"/>
          <w:bCs/>
          <w:color w:val="auto"/>
          <w:sz w:val="24"/>
          <w:szCs w:val="24"/>
          <w:highlight w:val="none"/>
        </w:rPr>
        <w:t xml:space="preserve">本采购包、本</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标段）预算或最高限价的。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rPr>
          <w:rFonts w:hint="eastAsia" w:ascii="宋体" w:hAnsi="宋体"/>
          <w:bCs/>
          <w:color w:val="auto"/>
          <w:sz w:val="24"/>
          <w:highlight w:val="none"/>
        </w:rPr>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rPr>
          <w:rFonts w:hint="eastAsia" w:ascii="宋体" w:hAnsi="宋体"/>
          <w:bCs/>
          <w:color w:val="auto"/>
          <w:sz w:val="24"/>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rFonts w:hint="eastAsia" w:ascii="宋体" w:hAnsi="宋体"/>
          <w:bCs/>
          <w:color w:val="auto"/>
          <w:sz w:val="24"/>
          <w:highlight w:val="none"/>
        </w:rPr>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应当按照《关于推动解决政府采购异常低价问题相关工作的通知》（苏财购〔2025〕62号）要求，启动异常低价投标（响应）审查</w:t>
      </w:r>
      <w:r>
        <w:rPr>
          <w:rFonts w:hint="eastAsia" w:ascii="宋体" w:hAnsi="宋体"/>
          <w:bCs/>
          <w:color w:val="auto"/>
          <w:sz w:val="24"/>
          <w:szCs w:val="24"/>
          <w:highlight w:val="none"/>
        </w:rPr>
        <w:t xml:space="preserve">程序。</w:t>
      </w:r>
      <w:r>
        <w:rPr>
          <w:rFonts w:hint="eastAsia" w:ascii="宋体" w:hAnsi="宋体"/>
          <w:bCs/>
          <w:color w:val="auto"/>
          <w:sz w:val="24"/>
          <w:highlight w:val="none"/>
        </w:rPr>
        <w:t xml:space="preserve">出现</w:t>
      </w:r>
      <w:r>
        <w:rPr>
          <w:rFonts w:hint="eastAsia" w:ascii="宋体" w:hAnsi="宋体"/>
          <w:bCs/>
          <w:color w:val="auto"/>
          <w:sz w:val="24"/>
          <w:highlight w:val="none"/>
        </w:rPr>
        <w:t xml:space="preserve">招标</w:t>
      </w:r>
      <w:r>
        <w:rPr>
          <w:rFonts w:hint="eastAsia" w:ascii="宋体" w:hAnsi="宋体"/>
          <w:bCs/>
          <w:color w:val="auto"/>
          <w:sz w:val="24"/>
          <w:highlight w:val="none"/>
        </w:rPr>
        <w:t xml:space="preserve">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color w:val="auto"/>
          <w:sz w:val="24"/>
          <w:szCs w:val="24"/>
          <w:highlight w:val="none"/>
          <w:lang w:val="en-US"/>
        </w:rPr>
      </w:r>
      <w:r>
        <w:rPr>
          <w:color w:val="auto"/>
          <w:highlight w:val="none"/>
        </w:rPr>
      </w:r>
    </w:p>
    <w:p>
      <w:pPr>
        <w:pStyle w:val="905"/>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评标</w:t>
      </w:r>
      <w:r>
        <w:rPr>
          <w:rFonts w:hint="eastAsia" w:ascii="宋体" w:hAnsi="宋体"/>
          <w:bCs/>
          <w:color w:val="auto"/>
          <w:sz w:val="24"/>
          <w:szCs w:val="24"/>
          <w:highlight w:val="none"/>
        </w:rPr>
        <w:t xml:space="preserve">委员会启动异常低价投标（响应）审查的情形和具体要求，包括：</w:t>
      </w:r>
      <w:r>
        <w:rPr>
          <w:rFonts w:ascii="宋体" w:hAnsi="宋体"/>
          <w:bCs/>
          <w:color w:val="auto"/>
          <w:sz w:val="24"/>
          <w:szCs w:val="24"/>
          <w:highlight w:val="none"/>
        </w:rPr>
      </w:r>
      <w:r>
        <w:rPr>
          <w:color w:val="auto"/>
          <w:highlight w:val="none"/>
        </w:rPr>
      </w:r>
    </w:p>
    <w:p>
      <w:pPr>
        <w:pStyle w:val="905"/>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）评审过程中出现下列情形之一的，</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应当启动异常低价投标（响应）审查程序：</w:t>
      </w:r>
      <w:r>
        <w:rPr>
          <w:rFonts w:ascii="宋体" w:hAnsi="宋体"/>
          <w:bCs/>
          <w:color w:val="auto"/>
          <w:sz w:val="24"/>
          <w:szCs w:val="24"/>
          <w:highlight w:val="none"/>
        </w:rPr>
      </w:r>
      <w:r>
        <w:rPr>
          <w:color w:val="auto"/>
          <w:highlight w:val="none"/>
        </w:rPr>
      </w:r>
    </w:p>
    <w:p>
      <w:pPr>
        <w:pStyle w:val="905"/>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rPr>
        <w:t xml:space="preserve">投标（响应）报价低于采购项目预算50%的，即投标（响应）报价&lt;采购项目预算×50%；</w:t>
      </w:r>
      <w:r>
        <w:rPr>
          <w:rFonts w:ascii="宋体" w:hAnsi="宋体"/>
          <w:bCs/>
          <w:color w:val="auto"/>
          <w:sz w:val="24"/>
          <w:szCs w:val="24"/>
          <w:highlight w:val="none"/>
        </w:rPr>
      </w:r>
      <w:r>
        <w:rPr>
          <w:color w:val="auto"/>
          <w:highlight w:val="none"/>
        </w:rPr>
      </w:r>
    </w:p>
    <w:p>
      <w:pPr>
        <w:pStyle w:val="905"/>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rPr>
        <w:t xml:space="preserve">投标（响应）报价低于采购项目最高限价45%的，即投标（响应）报价&lt;采购项目最高限价×45%；</w:t>
      </w:r>
      <w:r>
        <w:rPr>
          <w:rFonts w:ascii="宋体" w:hAnsi="宋体"/>
          <w:bCs/>
          <w:color w:val="auto"/>
          <w:sz w:val="24"/>
          <w:szCs w:val="24"/>
          <w:highlight w:val="none"/>
        </w:rPr>
      </w:r>
      <w:r>
        <w:rPr>
          <w:color w:val="auto"/>
          <w:highlight w:val="none"/>
        </w:rPr>
      </w:r>
    </w:p>
    <w:p>
      <w:pPr>
        <w:pStyle w:val="905"/>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③</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认定的供应商报价过低、有可能影响产品质量或者不能诚信履约的其他情形。</w:t>
      </w:r>
      <w:r>
        <w:rPr>
          <w:rFonts w:ascii="宋体" w:hAnsi="宋体"/>
          <w:bCs/>
          <w:color w:val="auto"/>
          <w:sz w:val="24"/>
          <w:szCs w:val="24"/>
          <w:highlight w:val="none"/>
        </w:rPr>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 xml:space="preserve">）启动异常低价投标（响应）审查后，</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应当要求相关供应商</w:t>
      </w:r>
      <w:r>
        <w:rPr>
          <w:rFonts w:hint="eastAsia" w:ascii="宋体" w:hAnsi="宋体"/>
          <w:bCs/>
          <w:color w:val="auto"/>
          <w:sz w:val="24"/>
          <w:szCs w:val="24"/>
          <w:highlight w:val="none"/>
        </w:rPr>
        <w:t xml:space="preserve">通过“苏采云”系统（</w:t>
      </w:r>
      <w:r>
        <w:rPr>
          <w:rFonts w:hint="eastAsia" w:ascii="宋体" w:hAnsi="宋体"/>
          <w:bCs/>
          <w:color w:val="auto"/>
          <w:sz w:val="24"/>
          <w:szCs w:val="24"/>
          <w:highlight w:val="none"/>
        </w:rPr>
        <w:t xml:space="preserve">或在评标现场</w:t>
      </w:r>
      <w:r>
        <w:rPr>
          <w:rFonts w:hint="eastAsia" w:ascii="宋体" w:hAnsi="宋体"/>
          <w:bCs/>
          <w:color w:val="auto"/>
          <w:sz w:val="24"/>
          <w:szCs w:val="24"/>
          <w:highlight w:val="none"/>
        </w:rPr>
        <w:t xml:space="preserve">）在给定的合理时间内</w:t>
      </w:r>
      <w:r>
        <w:rPr>
          <w:rFonts w:hint="eastAsia" w:ascii="宋体" w:hAnsi="宋体"/>
          <w:bCs/>
          <w:color w:val="auto"/>
          <w:sz w:val="24"/>
          <w:szCs w:val="24"/>
          <w:highlight w:val="none"/>
        </w:rPr>
        <w:t xml:space="preserve">，提供项目具体成本测算等与报价合理性相关的书面说明及相关证明材料，对投标（响应）价格作出解释，由</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color w:val="auto"/>
          <w:sz w:val="24"/>
          <w:highlight w:val="none"/>
        </w:rPr>
        <w:t xml:space="preserve">评标委员会</w:t>
      </w:r>
      <w:r>
        <w:rPr>
          <w:rFonts w:hint="eastAsia" w:ascii="宋体" w:hAnsi="宋体"/>
          <w:bCs/>
          <w:color w:val="auto"/>
          <w:sz w:val="24"/>
          <w:szCs w:val="24"/>
          <w:highlight w:val="none"/>
        </w:rPr>
        <w:t xml:space="preserve">应当将其作为无效投标（响应）处理。审查相关情况应当在评</w:t>
      </w:r>
      <w:r>
        <w:rPr>
          <w:rFonts w:hint="eastAsia" w:ascii="宋体" w:hAnsi="宋体"/>
          <w:bCs/>
          <w:color w:val="auto"/>
          <w:sz w:val="24"/>
          <w:szCs w:val="24"/>
          <w:highlight w:val="none"/>
        </w:rPr>
        <w:t xml:space="preserve">标</w:t>
      </w:r>
      <w:r>
        <w:rPr>
          <w:rFonts w:hint="eastAsia" w:ascii="宋体" w:hAnsi="宋体"/>
          <w:bCs/>
          <w:color w:val="auto"/>
          <w:sz w:val="24"/>
          <w:szCs w:val="24"/>
          <w:highlight w:val="none"/>
        </w:rPr>
        <w:t xml:space="preserve">报告中进行记录。</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w:t>
      </w:r>
      <w:r>
        <w:rPr>
          <w:rFonts w:hint="eastAsia" w:ascii="宋体" w:hAnsi="宋体"/>
          <w:bCs/>
          <w:color w:val="auto"/>
          <w:sz w:val="24"/>
          <w:szCs w:val="24"/>
          <w:highlight w:val="none"/>
        </w:rPr>
        <w:t xml:space="preserve">其他实质性</w:t>
      </w:r>
      <w:r>
        <w:rPr>
          <w:rFonts w:hint="eastAsia" w:ascii="宋体" w:hAnsi="宋体"/>
          <w:bCs/>
          <w:color w:val="auto"/>
          <w:sz w:val="24"/>
          <w:szCs w:val="24"/>
          <w:highlight w:val="none"/>
        </w:rPr>
        <w:t xml:space="preserve">要求和条件的</w:t>
      </w:r>
      <w:r>
        <w:rPr>
          <w:rFonts w:hint="eastAsia" w:ascii="宋体" w:hAnsi="宋体"/>
          <w:bCs/>
          <w:color w:val="auto"/>
          <w:sz w:val="24"/>
          <w:szCs w:val="24"/>
          <w:highlight w:val="none"/>
        </w:rPr>
        <w:t xml:space="preserve">。</w:t>
      </w:r>
      <w:r>
        <w:rPr>
          <w:rFonts w:hint="eastAsia" w:ascii="宋体" w:hAnsi="宋体"/>
          <w:bCs/>
          <w:color w:val="auto"/>
          <w:sz w:val="24"/>
          <w:highlight w:val="none"/>
        </w:rPr>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rPr>
          <w:color w:val="auto"/>
          <w:highlight w:val="none"/>
        </w:rPr>
      </w:r>
    </w:p>
    <w:p>
      <w:pPr>
        <w:pStyle w:val="905"/>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rPr>
          <w:color w:val="auto"/>
          <w:highlight w:val="none"/>
        </w:rPr>
      </w:r>
    </w:p>
    <w:p>
      <w:pPr>
        <w:pStyle w:val="905"/>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rPr>
          <w:color w:val="auto"/>
          <w:highlight w:val="none"/>
        </w:rPr>
      </w:r>
    </w:p>
    <w:p>
      <w:pPr>
        <w:pStyle w:val="905"/>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rPr>
          <w:color w:val="auto"/>
          <w:highlight w:val="none"/>
        </w:rPr>
      </w:r>
    </w:p>
    <w:p>
      <w:pPr>
        <w:pStyle w:val="905"/>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rPr>
          <w:rFonts w:ascii="宋体" w:hAnsi="宋体"/>
          <w:bCs/>
          <w:color w:val="auto"/>
          <w:sz w:val="24"/>
          <w:highlight w:val="none"/>
        </w:rPr>
      </w:r>
      <w:r>
        <w:rPr>
          <w:color w:val="auto"/>
          <w:highlight w:val="none"/>
        </w:rPr>
      </w:r>
    </w:p>
    <w:p>
      <w:pPr>
        <w:pStyle w:val="905"/>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rFonts w:hint="eastAsia" w:ascii="宋体" w:hAnsi="宋体"/>
          <w:bCs/>
          <w:color w:val="auto"/>
          <w:sz w:val="24"/>
          <w:highlight w:val="none"/>
        </w:rPr>
        <w:t xml:space="preserve">。</w:t>
      </w:r>
      <w:r>
        <w:rPr>
          <w:rFonts w:hint="eastAsia" w:ascii="宋体" w:hAnsi="宋体"/>
          <w:bCs/>
          <w:color w:val="auto"/>
          <w:sz w:val="24"/>
          <w:highlight w:val="none"/>
        </w:rPr>
      </w:r>
      <w:r>
        <w:rPr>
          <w:color w:val="auto"/>
          <w:highlight w:val="none"/>
        </w:rPr>
      </w:r>
    </w:p>
    <w:p>
      <w:pPr>
        <w:pStyle w:val="905"/>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rPr>
          <w:rFonts w:hint="eastAsia" w:ascii="宋体" w:hAnsi="宋体"/>
          <w:bCs/>
          <w:color w:val="auto"/>
          <w:sz w:val="24"/>
          <w:highlight w:val="none"/>
        </w:rPr>
      </w:r>
      <w:r>
        <w:rPr>
          <w:color w:val="auto"/>
          <w:highlight w:val="none"/>
        </w:rPr>
      </w:r>
    </w:p>
    <w:p>
      <w:pPr>
        <w:pStyle w:val="905"/>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rPr>
          <w:color w:val="auto"/>
          <w:highlight w:val="none"/>
        </w:rPr>
      </w:r>
    </w:p>
    <w:p>
      <w:pPr>
        <w:pStyle w:val="908"/>
        <w:ind w:firstLine="452"/>
        <w:keepLines w:val="0"/>
        <w:keepNext w:val="0"/>
        <w:spacing w:before="0" w:after="0" w:line="500" w:lineRule="exact"/>
        <w:rPr>
          <w:rFonts w:hint="eastAsia"/>
          <w:color w:val="auto"/>
          <w:sz w:val="30"/>
          <w:szCs w:val="30"/>
          <w:highlight w:val="none"/>
        </w:rPr>
      </w:pPr>
      <w:r>
        <w:rPr>
          <w:color w:val="auto"/>
          <w:highlight w:val="none"/>
        </w:rPr>
      </w:r>
      <w:bookmarkStart w:id="164" w:name="_Toc120614219"/>
      <w:r>
        <w:rPr>
          <w:rFonts w:hint="eastAsia"/>
          <w:color w:val="auto"/>
          <w:sz w:val="30"/>
          <w:szCs w:val="30"/>
          <w:highlight w:val="none"/>
        </w:rPr>
        <w:t xml:space="preserve">六、</w:t>
      </w:r>
      <w:bookmarkEnd w:id="161"/>
      <w:r>
        <w:rPr>
          <w:color w:val="auto"/>
          <w:highlight w:val="none"/>
        </w:rPr>
      </w:r>
      <w:bookmarkEnd w:id="162"/>
      <w:r>
        <w:rPr>
          <w:color w:val="auto"/>
          <w:highlight w:val="none"/>
        </w:rPr>
      </w:r>
      <w:bookmarkEnd w:id="163"/>
      <w:r>
        <w:rPr>
          <w:rFonts w:hint="eastAsia"/>
          <w:color w:val="auto"/>
          <w:sz w:val="30"/>
          <w:szCs w:val="30"/>
          <w:highlight w:val="none"/>
        </w:rPr>
        <w:t xml:space="preserve">定标</w:t>
      </w:r>
      <w:bookmarkEnd w:id="164"/>
      <w:r>
        <w:rPr>
          <w:rFonts w:hint="eastAsia"/>
          <w:color w:val="auto"/>
          <w:sz w:val="30"/>
          <w:szCs w:val="30"/>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65" w:name="_Toc513029238"/>
      <w:r>
        <w:rPr>
          <w:color w:val="auto"/>
          <w:highlight w:val="none"/>
        </w:rPr>
      </w:r>
      <w:bookmarkStart w:id="166" w:name="_Toc20823310"/>
      <w:r>
        <w:rPr>
          <w:color w:val="auto"/>
          <w:highlight w:val="none"/>
        </w:rPr>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rPr>
          <w:color w:val="auto"/>
          <w:highlight w:val="none"/>
        </w:rPr>
      </w:r>
      <w:bookmarkEnd w:id="167"/>
      <w:r>
        <w:rPr>
          <w:rFonts w:hint="eastAsia" w:ascii="宋体" w:hAnsi="宋体" w:eastAsia="宋体"/>
          <w:bCs w:val="0"/>
          <w:color w:val="auto"/>
          <w:highlight w:val="none"/>
        </w:rPr>
        <w:t xml:space="preserve">中标单位</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auto"/>
          <w:highlight w:val="none"/>
        </w:rPr>
      </w:r>
    </w:p>
    <w:p>
      <w:pPr>
        <w:pStyle w:val="905"/>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w:t>
      </w:r>
      <w:r>
        <w:rPr>
          <w:rFonts w:hint="eastAsia" w:ascii="宋体" w:hAnsi="宋体"/>
          <w:bCs/>
          <w:color w:val="auto"/>
          <w:sz w:val="24"/>
          <w:highlight w:val="none"/>
        </w:rPr>
        <w:t xml:space="preserve">名单中按</w:t>
      </w:r>
      <w:r>
        <w:rPr>
          <w:rFonts w:hint="eastAsia" w:ascii="宋体" w:hAnsi="宋体"/>
          <w:bCs/>
          <w:color w:val="auto"/>
          <w:sz w:val="24"/>
          <w:highlight w:val="none"/>
        </w:rPr>
        <w:t xml:space="preserve">排名先后</w:t>
      </w:r>
      <w:r>
        <w:rPr>
          <w:rFonts w:hint="eastAsia" w:ascii="宋体" w:hAnsi="宋体"/>
          <w:bCs/>
          <w:color w:val="auto"/>
          <w:sz w:val="24"/>
          <w:highlight w:val="none"/>
        </w:rPr>
        <w:t xml:space="preserve">顺序</w:t>
      </w:r>
      <w:r>
        <w:rPr>
          <w:rFonts w:hint="eastAsia" w:ascii="宋体" w:hAnsi="宋体"/>
          <w:bCs/>
          <w:color w:val="auto"/>
          <w:sz w:val="24"/>
          <w:highlight w:val="none"/>
        </w:rPr>
        <w:t xml:space="preserve">确定一个投标人</w:t>
      </w:r>
      <w:r>
        <w:rPr>
          <w:rFonts w:hint="eastAsia" w:ascii="宋体" w:hAnsi="宋体"/>
          <w:bCs/>
          <w:color w:val="auto"/>
          <w:sz w:val="24"/>
          <w:highlight w:val="none"/>
        </w:rPr>
        <w:t xml:space="preserve">为</w:t>
      </w:r>
      <w:r>
        <w:rPr>
          <w:rFonts w:hint="eastAsia" w:ascii="宋体" w:hAnsi="宋体"/>
          <w:bCs/>
          <w:color w:val="auto"/>
          <w:sz w:val="24"/>
          <w:highlight w:val="none"/>
        </w:rPr>
        <w:t xml:space="preserve">中标</w:t>
      </w:r>
      <w:r>
        <w:rPr>
          <w:rFonts w:hint="eastAsia" w:ascii="宋体" w:hAnsi="宋体"/>
          <w:bCs/>
          <w:color w:val="auto"/>
          <w:sz w:val="24"/>
          <w:highlight w:val="none"/>
        </w:rPr>
        <w:t xml:space="preserve">单位</w:t>
      </w:r>
      <w:r>
        <w:rPr>
          <w:rFonts w:hint="eastAsia" w:ascii="宋体" w:hAnsi="宋体"/>
          <w:bCs/>
          <w:color w:val="auto"/>
          <w:sz w:val="24"/>
          <w:highlight w:val="none"/>
        </w:rPr>
        <w:t xml:space="preserve">。联合体中标的，联合体各方应当共同与采购人签订合同，就中标项目向采购人承担连带责任。</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交易中心将在“江苏政府采购网”发布中标公告，公告期限为1个工作日。</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rPr>
          <w:color w:val="auto"/>
          <w:highlight w:val="none"/>
        </w:rPr>
      </w:r>
    </w:p>
    <w:p>
      <w:pPr>
        <w:pStyle w:val="905"/>
        <w:ind w:firstLine="480"/>
        <w:spacing w:line="500" w:lineRule="exact"/>
        <w:rPr>
          <w:rFonts w:hint="eastAsia" w:ascii="宋体" w:hAnsi="宋体"/>
          <w:color w:val="auto"/>
          <w:sz w:val="24"/>
          <w:szCs w:val="24"/>
          <w:highlight w:val="none"/>
        </w:rPr>
      </w:pPr>
      <w:r>
        <w:rPr>
          <w:color w:val="auto"/>
          <w:highlight w:val="none"/>
        </w:r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rPr>
          <w:rFonts w:hint="eastAsia" w:ascii="宋体" w:hAnsi="宋体"/>
          <w:color w:val="auto"/>
          <w:sz w:val="24"/>
          <w:szCs w:val="24"/>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rFonts w:ascii="宋体" w:hAnsi="宋体"/>
          <w:color w:val="auto"/>
          <w:sz w:val="24"/>
          <w:szCs w:val="24"/>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rPr>
          <w:rFonts w:ascii="宋体" w:hAnsi="宋体"/>
          <w:color w:val="auto"/>
          <w:sz w:val="24"/>
          <w:szCs w:val="24"/>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rPr>
          <w:rFonts w:ascii="宋体" w:hAnsi="宋体"/>
          <w:color w:val="auto"/>
          <w:sz w:val="24"/>
          <w:szCs w:val="24"/>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rPr>
          <w:rFonts w:ascii="宋体" w:hAnsi="宋体"/>
          <w:color w:val="auto"/>
          <w:sz w:val="24"/>
          <w:szCs w:val="24"/>
          <w:highlight w:val="none"/>
        </w:rPr>
      </w:r>
      <w:r>
        <w:rPr>
          <w:color w:val="auto"/>
          <w:highlight w:val="none"/>
        </w:rPr>
      </w:r>
    </w:p>
    <w:p>
      <w:pPr>
        <w:pStyle w:val="905"/>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rPr>
          <w:rFonts w:ascii="宋体" w:hAnsi="宋体"/>
          <w:color w:val="auto"/>
          <w:sz w:val="24"/>
          <w:szCs w:val="24"/>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Pr>
          <w:rFonts w:hint="eastAsia" w:ascii="宋体" w:hAnsi="宋体" w:eastAsia="宋体"/>
          <w:bCs w:val="0"/>
          <w:color w:val="auto"/>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w:t>
      </w:r>
      <w:r>
        <w:rPr>
          <w:rFonts w:hint="eastAsia" w:ascii="宋体" w:hAnsi="宋体"/>
          <w:color w:val="auto"/>
          <w:sz w:val="24"/>
          <w:szCs w:val="24"/>
          <w:highlight w:val="none"/>
        </w:rPr>
        <w:t xml:space="preserve">法获取其可质疑的采购文件的，可以对采购文件提出质疑。</w:t>
      </w:r>
      <w:r>
        <w:rPr>
          <w:rFonts w:hint="eastAsia" w:ascii="宋体" w:hAnsi="宋体"/>
          <w:color w:val="auto"/>
          <w:sz w:val="24"/>
          <w:szCs w:val="24"/>
          <w:highlight w:val="none"/>
        </w:rPr>
        <w:t xml:space="preserve">供应商</w:t>
      </w:r>
      <w:r>
        <w:rPr>
          <w:rFonts w:hint="eastAsia" w:ascii="宋体" w:hAnsi="宋体"/>
          <w:color w:val="auto"/>
          <w:sz w:val="24"/>
          <w:szCs w:val="24"/>
          <w:highlight w:val="none"/>
        </w:rPr>
        <w:t xml:space="preserve">针对采购文件</w:t>
      </w:r>
      <w:r>
        <w:rPr>
          <w:rFonts w:hint="eastAsia" w:ascii="宋体" w:hAnsi="宋体"/>
          <w:color w:val="auto"/>
          <w:sz w:val="24"/>
          <w:szCs w:val="24"/>
          <w:highlight w:val="none"/>
        </w:rPr>
        <w:t xml:space="preserve">提出书面质疑的，须同时</w:t>
      </w:r>
      <w:r>
        <w:rPr>
          <w:rFonts w:hint="eastAsia" w:ascii="宋体" w:hAnsi="宋体"/>
          <w:color w:val="auto"/>
          <w:sz w:val="24"/>
          <w:szCs w:val="24"/>
          <w:highlight w:val="none"/>
        </w:rPr>
        <w:t xml:space="preserve">提供</w:t>
      </w:r>
      <w:r>
        <w:rPr>
          <w:rFonts w:hint="eastAsia" w:ascii="宋体" w:hAnsi="宋体"/>
          <w:color w:val="auto"/>
          <w:sz w:val="24"/>
          <w:szCs w:val="24"/>
          <w:highlight w:val="none"/>
        </w:rPr>
        <w:t xml:space="preserve">对可质疑的采购文件已进行依法获取的证明，</w:t>
      </w:r>
      <w:r>
        <w:rPr>
          <w:rFonts w:hint="eastAsia" w:ascii="宋体" w:hAnsi="宋体"/>
          <w:color w:val="auto"/>
          <w:sz w:val="24"/>
          <w:szCs w:val="24"/>
          <w:highlight w:val="none"/>
        </w:rPr>
        <w:t xml:space="preserve">且</w:t>
      </w:r>
      <w:r>
        <w:rPr>
          <w:rFonts w:hint="eastAsia" w:ascii="宋体" w:hAnsi="宋体"/>
          <w:color w:val="auto"/>
          <w:sz w:val="24"/>
          <w:szCs w:val="24"/>
          <w:highlight w:val="none"/>
        </w:rPr>
        <w:t xml:space="preserve">采购人或交易中心有权向“苏采云”系统平台方进行核实。供应商对可质疑的采购文件已进行依法获取的证明是指：本项目的</w:t>
      </w:r>
      <w:r>
        <w:rPr>
          <w:rFonts w:hint="eastAsia" w:ascii="宋体" w:hAnsi="宋体"/>
          <w:color w:val="auto"/>
          <w:sz w:val="24"/>
          <w:szCs w:val="24"/>
          <w:highlight w:val="none"/>
        </w:rPr>
        <w:t xml:space="preserve">《投标供应商确认函》</w:t>
      </w:r>
      <w:r>
        <w:rPr>
          <w:rFonts w:hint="eastAsia" w:ascii="宋体" w:hAnsi="宋体"/>
          <w:color w:val="auto"/>
          <w:sz w:val="24"/>
          <w:szCs w:val="24"/>
          <w:highlight w:val="none"/>
        </w:rPr>
        <w:t xml:space="preserve">和已在“苏采云”系统中对本项目采购文件进行有效获取的</w:t>
      </w:r>
      <w:r>
        <w:rPr>
          <w:rFonts w:hint="eastAsia" w:ascii="宋体" w:hAnsi="宋体"/>
          <w:color w:val="auto"/>
          <w:sz w:val="24"/>
          <w:szCs w:val="24"/>
          <w:highlight w:val="none"/>
        </w:rPr>
        <w:t xml:space="preserve">界面</w:t>
      </w:r>
      <w:r>
        <w:rPr>
          <w:rFonts w:hint="eastAsia" w:ascii="宋体" w:hAnsi="宋体"/>
          <w:color w:val="auto"/>
          <w:sz w:val="24"/>
          <w:szCs w:val="24"/>
          <w:highlight w:val="none"/>
        </w:rPr>
        <w:t xml:space="preserve">截图（</w:t>
      </w:r>
      <w:r>
        <w:rPr>
          <w:rFonts w:hint="eastAsia" w:ascii="宋体" w:hAnsi="宋体"/>
          <w:color w:val="auto"/>
          <w:sz w:val="24"/>
          <w:szCs w:val="24"/>
          <w:highlight w:val="none"/>
        </w:rPr>
        <w:t xml:space="preserve">截图上显示供应商名称以及</w:t>
      </w:r>
      <w:r>
        <w:rPr>
          <w:rFonts w:hint="eastAsia" w:ascii="宋体" w:hAnsi="宋体"/>
          <w:color w:val="auto"/>
          <w:sz w:val="24"/>
          <w:szCs w:val="24"/>
          <w:highlight w:val="none"/>
        </w:rPr>
        <w:t xml:space="preserve">在供应商的</w:t>
      </w:r>
      <w:r>
        <w:rPr>
          <w:rFonts w:hint="eastAsia" w:ascii="宋体" w:hAnsi="宋体"/>
          <w:color w:val="auto"/>
          <w:sz w:val="24"/>
          <w:szCs w:val="24"/>
          <w:highlight w:val="none"/>
        </w:rPr>
        <w:t xml:space="preserve">界面操作</w:t>
      </w:r>
      <w:r>
        <w:rPr>
          <w:rFonts w:hint="eastAsia" w:ascii="宋体" w:hAnsi="宋体"/>
          <w:color w:val="auto"/>
          <w:sz w:val="24"/>
          <w:szCs w:val="24"/>
          <w:highlight w:val="none"/>
        </w:rPr>
        <w:t xml:space="preserve">一栏处</w:t>
      </w:r>
      <w:r>
        <w:rPr>
          <w:rFonts w:hint="eastAsia" w:ascii="宋体" w:hAnsi="宋体"/>
          <w:color w:val="auto"/>
          <w:sz w:val="24"/>
          <w:szCs w:val="24"/>
          <w:highlight w:val="none"/>
        </w:rPr>
        <w:t xml:space="preserve">能够显示“上传文件”按钮的，代表该供应商在</w:t>
      </w:r>
      <w:r>
        <w:rPr>
          <w:rFonts w:hint="eastAsia" w:ascii="宋体" w:hAnsi="宋体"/>
          <w:color w:val="auto"/>
          <w:sz w:val="24"/>
          <w:szCs w:val="24"/>
          <w:highlight w:val="none"/>
        </w:rPr>
        <w:t xml:space="preserve">本文件</w:t>
      </w:r>
      <w:r>
        <w:rPr>
          <w:rFonts w:hint="eastAsia" w:ascii="宋体" w:hAnsi="宋体"/>
          <w:color w:val="auto"/>
          <w:sz w:val="24"/>
          <w:szCs w:val="24"/>
          <w:highlight w:val="none"/>
        </w:rPr>
        <w:t xml:space="preserve">有效获取期限内已从“苏采云”系统</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进行了获取）</w:t>
      </w:r>
      <w:r>
        <w:rPr>
          <w:rFonts w:hint="eastAsia" w:ascii="宋体" w:hAnsi="宋体"/>
          <w:color w:val="auto"/>
          <w:sz w:val="24"/>
          <w:szCs w:val="24"/>
          <w:highlight w:val="none"/>
        </w:rPr>
        <w:t xml:space="preserve">。</w:t>
      </w:r>
      <w:r>
        <w:rPr>
          <w:rFonts w:hint="eastAsia"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w:t>
      </w:r>
      <w:r>
        <w:rPr>
          <w:rFonts w:ascii="宋体" w:hAnsi="宋体"/>
          <w:color w:val="auto"/>
          <w:sz w:val="24"/>
          <w:szCs w:val="24"/>
          <w:highlight w:val="none"/>
        </w:rPr>
        <w:t xml:space="preserve">告期限届满之日；</w:t>
      </w:r>
      <w:r>
        <w:rPr>
          <w:rFonts w:hint="eastAsia"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rPr>
          <w:rFonts w:hint="eastAsia"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rPr>
          <w:rFonts w:hint="eastAsia"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p>
    <w:p>
      <w:pPr>
        <w:pStyle w:val="905"/>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auto"/>
          <w:sz w:val="24"/>
          <w:szCs w:val="24"/>
          <w:highlight w:val="none"/>
          <w:shd w:val="clear" w:color="ffffff" w:fill="d9d9d9"/>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采购人、交易中心只接收以纸质原件形式送达的质疑,质疑供应商可通过面交或邮寄方式送达（采购人和交易中心不接受未填写快递运单的快件）。</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rPr>
          <w:color w:val="auto"/>
          <w:highlight w:val="none"/>
        </w:rPr>
      </w:r>
    </w:p>
    <w:p>
      <w:pPr>
        <w:pStyle w:val="905"/>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auto"/>
          <w:highlight w:val="none"/>
        </w:rPr>
      </w:r>
    </w:p>
    <w:p>
      <w:pPr>
        <w:pStyle w:val="908"/>
        <w:ind w:firstLine="452"/>
        <w:keepLines w:val="0"/>
        <w:keepNext w:val="0"/>
        <w:spacing w:before="0" w:after="0" w:line="500" w:lineRule="exact"/>
        <w:rPr>
          <w:rFonts w:hint="eastAsia"/>
          <w:color w:val="auto"/>
          <w:sz w:val="30"/>
          <w:szCs w:val="30"/>
          <w:highlight w:val="none"/>
        </w:rPr>
      </w:pPr>
      <w:r>
        <w:rPr>
          <w:color w:val="auto"/>
          <w:highlight w:val="none"/>
        </w:rPr>
      </w:r>
      <w:bookmarkStart w:id="169" w:name="_Toc120614220"/>
      <w:r>
        <w:rPr>
          <w:color w:val="auto"/>
          <w:highlight w:val="none"/>
        </w:rPr>
      </w:r>
      <w:bookmarkStart w:id="170" w:name="_Toc20823308"/>
      <w:r>
        <w:rPr>
          <w:color w:val="auto"/>
          <w:highlight w:val="none"/>
        </w:rPr>
      </w:r>
      <w:bookmarkStart w:id="171" w:name="_Toc16938552"/>
      <w:r>
        <w:rPr>
          <w:color w:val="auto"/>
          <w:highlight w:val="none"/>
        </w:rPr>
      </w:r>
      <w:bookmarkStart w:id="172" w:name="_Toc513029236"/>
      <w:r>
        <w:rPr>
          <w:rFonts w:hint="eastAsia"/>
          <w:color w:val="auto"/>
          <w:sz w:val="30"/>
          <w:szCs w:val="30"/>
          <w:highlight w:val="none"/>
        </w:rPr>
        <w:t xml:space="preserve">七、授予合同</w:t>
      </w:r>
      <w:bookmarkEnd w:id="169"/>
      <w:r>
        <w:rPr>
          <w:rFonts w:hint="eastAsia"/>
          <w:color w:val="auto"/>
          <w:sz w:val="30"/>
          <w:szCs w:val="30"/>
          <w:highlight w:val="none"/>
        </w:rPr>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70"/>
      <w:r>
        <w:rPr>
          <w:color w:val="auto"/>
          <w:highlight w:val="none"/>
        </w:rPr>
      </w:r>
      <w:bookmarkEnd w:id="171"/>
      <w:r>
        <w:rPr>
          <w:color w:val="auto"/>
          <w:highlight w:val="none"/>
        </w:rPr>
      </w:r>
      <w:bookmarkEnd w:id="172"/>
      <w:r>
        <w:rPr>
          <w:color w:val="auto"/>
          <w:highlight w:val="none"/>
        </w:rPr>
      </w:r>
      <w:bookmarkStart w:id="173" w:name="_Toc16938553"/>
      <w:r>
        <w:rPr>
          <w:color w:val="auto"/>
          <w:highlight w:val="none"/>
        </w:rPr>
      </w:r>
      <w:bookmarkStart w:id="174" w:name="_Toc513029237"/>
      <w:r>
        <w:rPr>
          <w:color w:val="auto"/>
          <w:highlight w:val="none"/>
        </w:rPr>
      </w:r>
      <w:bookmarkStart w:id="175" w:name="_Toc20823309"/>
      <w:r>
        <w:rPr>
          <w:rFonts w:hint="eastAsia" w:ascii="宋体" w:hAnsi="宋体" w:eastAsia="宋体"/>
          <w:bCs w:val="0"/>
          <w:color w:val="auto"/>
          <w:highlight w:val="none"/>
        </w:rPr>
        <w:t xml:space="preserve">30.签订合同</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rPr>
          <w:color w:val="auto"/>
          <w:highlight w:val="none"/>
        </w:rPr>
      </w:r>
    </w:p>
    <w:p>
      <w:pPr>
        <w:pStyle w:val="905"/>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auto"/>
          <w:highlight w:val="none"/>
        </w:rPr>
      </w:r>
    </w:p>
    <w:p>
      <w:pPr>
        <w:pStyle w:val="909"/>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highlight w:val="none"/>
        </w:rPr>
      </w:r>
    </w:p>
    <w:p>
      <w:pPr>
        <w:pStyle w:val="905"/>
        <w:jc w:val="center"/>
        <w:spacing w:line="500" w:lineRule="exact"/>
        <w:tabs>
          <w:tab w:val="left" w:pos="1440" w:leader="none"/>
        </w:tabs>
        <w:rPr>
          <w:rFonts w:hint="eastAsia" w:ascii="黑体" w:hAnsi="黑体" w:eastAsia="黑体"/>
          <w:color w:val="auto"/>
          <w:sz w:val="36"/>
          <w:szCs w:val="36"/>
          <w:highlight w:val="none"/>
        </w:rPr>
        <w:outlineLvl w:val="0"/>
      </w:pPr>
      <w:r>
        <w:rPr>
          <w:color w:val="auto"/>
          <w:highlight w:val="none"/>
        </w:rPr>
      </w:r>
      <w:bookmarkEnd w:id="173"/>
      <w:r>
        <w:rPr>
          <w:color w:val="auto"/>
          <w:highlight w:val="none"/>
        </w:rPr>
      </w:r>
      <w:bookmarkEnd w:id="174"/>
      <w:r>
        <w:rPr>
          <w:color w:val="auto"/>
          <w:highlight w:val="none"/>
        </w:rPr>
      </w:r>
      <w:bookmarkEnd w:id="175"/>
      <w:r>
        <w:rPr>
          <w:color w:val="auto"/>
          <w:highlight w:val="none"/>
        </w:rPr>
      </w:r>
      <w:bookmarkStart w:id="176" w:name="_Toc479757207"/>
      <w:r>
        <w:rPr>
          <w:color w:val="auto"/>
          <w:highlight w:val="none"/>
        </w:rPr>
      </w:r>
      <w:bookmarkStart w:id="177" w:name="_Toc20823314"/>
      <w:r>
        <w:rPr>
          <w:color w:val="auto"/>
          <w:highlight w:val="none"/>
        </w:rPr>
      </w:r>
      <w:bookmarkStart w:id="178" w:name="_Toc120614221"/>
      <w:r>
        <w:rPr>
          <w:color w:val="auto"/>
          <w:highlight w:val="none"/>
        </w:rPr>
      </w:r>
      <w:bookmarkStart w:id="179" w:name="_Toc16938558"/>
      <w:r>
        <w:rPr>
          <w:color w:val="auto"/>
          <w:highlight w:val="none"/>
        </w:rPr>
      </w:r>
      <w:bookmarkStart w:id="180" w:name="_Toc513029242"/>
      <w:r>
        <w:rPr>
          <w:rFonts w:ascii="宋体" w:hAnsi="宋体"/>
          <w:bCs/>
          <w:color w:val="auto"/>
          <w:sz w:val="24"/>
          <w:highlight w:val="none"/>
          <w:shd w:val="clear" w:color="ffffff" w:fill="d9d9d9"/>
        </w:rPr>
        <w:br w:type="page" w:clear="all"/>
      </w:r>
      <w:r>
        <w:rPr>
          <w:rFonts w:hint="eastAsia" w:ascii="黑体" w:hAnsi="黑体" w:eastAsia="黑体"/>
          <w:color w:val="auto"/>
          <w:sz w:val="36"/>
          <w:szCs w:val="36"/>
          <w:highlight w:val="none"/>
        </w:rPr>
        <w:t xml:space="preserve">第三章  合同</w:t>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rFonts w:hint="eastAsia" w:ascii="黑体" w:hAnsi="黑体" w:eastAsia="黑体"/>
          <w:color w:val="auto"/>
          <w:sz w:val="36"/>
          <w:szCs w:val="36"/>
          <w:highlight w:val="none"/>
        </w:rPr>
        <w:t xml:space="preserve">文本</w:t>
      </w:r>
      <w:r>
        <w:rPr>
          <w:color w:val="auto"/>
          <w:highlight w:val="none"/>
        </w:rPr>
      </w:r>
    </w:p>
    <w:p>
      <w:pPr>
        <w:pStyle w:val="905"/>
        <w:ind w:firstLine="480"/>
        <w:spacing w:line="400" w:lineRule="exact"/>
        <w:rPr>
          <w:rFonts w:hint="eastAsia" w:ascii="宋体" w:hAnsi="宋体"/>
          <w:bCs/>
          <w:color w:val="auto"/>
          <w:sz w:val="24"/>
          <w:highlight w:val="none"/>
        </w:rPr>
      </w:pPr>
      <w:r>
        <w:rPr>
          <w:color w:val="auto"/>
          <w:highlight w:val="none"/>
        </w:rPr>
      </w:r>
      <w:bookmarkStart w:id="181" w:name="_Toc20823315"/>
      <w:r>
        <w:rPr>
          <w:color w:val="auto"/>
          <w:highlight w:val="none"/>
        </w:rPr>
      </w:r>
      <w:bookmarkStart w:id="182" w:name="_Toc16938559"/>
      <w:r>
        <w:rPr>
          <w:color w:val="auto"/>
          <w:highlight w:val="none"/>
        </w:rPr>
      </w:r>
      <w:bookmarkStart w:id="183" w:name="_Toc513029243"/>
      <w:r>
        <w:rPr>
          <w:rFonts w:hint="eastAsia" w:ascii="宋体" w:hAnsi="宋体"/>
          <w:bCs/>
          <w:color w:val="auto"/>
          <w:sz w:val="24"/>
          <w:highlight w:val="none"/>
        </w:rPr>
        <w:t xml:space="preserve">以下为中标后</w:t>
      </w:r>
      <w:r>
        <w:rPr>
          <w:rFonts w:hint="eastAsia" w:ascii="宋体" w:hAnsi="宋体"/>
          <w:bCs/>
          <w:color w:val="auto"/>
          <w:sz w:val="24"/>
          <w:highlight w:val="none"/>
        </w:rPr>
        <w:t xml:space="preserve">签订</w:t>
      </w:r>
      <w:r>
        <w:rPr>
          <w:rFonts w:hint="eastAsia" w:ascii="宋体" w:hAnsi="宋体"/>
          <w:bCs/>
          <w:color w:val="auto"/>
          <w:sz w:val="24"/>
          <w:highlight w:val="none"/>
        </w:rPr>
        <w:t xml:space="preserve">本项目合同的通用条款，中标人不得提出实质性的修改。</w:t>
      </w:r>
      <w:r>
        <w:rPr>
          <w:color w:val="auto"/>
          <w:highlight w:val="none"/>
        </w:rPr>
      </w:r>
    </w:p>
    <w:p>
      <w:pPr>
        <w:pStyle w:val="905"/>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rPr>
          <w:rFonts w:ascii="宋体" w:hAnsi="宋体"/>
          <w:b/>
          <w:bCs/>
          <w:color w:val="auto"/>
          <w:sz w:val="30"/>
          <w:szCs w:val="20"/>
          <w:highlight w:val="none"/>
        </w:rPr>
      </w:r>
      <w:r>
        <w:rPr>
          <w:color w:val="auto"/>
          <w:highlight w:val="none"/>
        </w:rPr>
      </w:r>
    </w:p>
    <w:p>
      <w:pPr>
        <w:pStyle w:val="944"/>
        <w:spacing w:line="400" w:lineRule="exact"/>
        <w:rPr>
          <w:rFonts w:hAnsi="宋体"/>
          <w:color w:val="auto"/>
          <w:sz w:val="24"/>
          <w:szCs w:val="24"/>
          <w:highlight w:val="none"/>
        </w:rPr>
      </w:pPr>
      <w:r>
        <w:rPr>
          <w:rFonts w:hAnsi="宋体"/>
          <w:color w:val="auto"/>
          <w:sz w:val="24"/>
          <w:szCs w:val="24"/>
          <w:highlight w:val="none"/>
        </w:rPr>
        <w:t xml:space="preserve">项目名称：                                       项目编号：</w:t>
      </w:r>
      <w:r>
        <w:rPr>
          <w:color w:val="auto"/>
          <w:highlight w:val="none"/>
        </w:rPr>
      </w:r>
    </w:p>
    <w:p>
      <w:pPr>
        <w:pStyle w:val="944"/>
        <w:spacing w:line="400" w:lineRule="exact"/>
        <w:rPr>
          <w:rFonts w:hAnsi="宋体"/>
          <w:color w:val="auto"/>
          <w:sz w:val="24"/>
          <w:szCs w:val="24"/>
          <w:highlight w:val="none"/>
        </w:rPr>
      </w:pPr>
      <w:r>
        <w:rPr>
          <w:rFonts w:hAnsi="宋体"/>
          <w:color w:val="auto"/>
          <w:sz w:val="24"/>
          <w:szCs w:val="24"/>
          <w:highlight w:val="none"/>
        </w:rPr>
        <w:t xml:space="preserve">甲方：（买方</w:t>
      </w:r>
      <w:r>
        <w:rPr>
          <w:rFonts w:hAnsi="宋体"/>
          <w:color w:val="auto"/>
          <w:sz w:val="24"/>
          <w:szCs w:val="24"/>
          <w:highlight w:val="none"/>
        </w:rPr>
        <w:t xml:space="preserve">、</w:t>
      </w:r>
      <w:r>
        <w:rPr>
          <w:rFonts w:hAnsi="宋体"/>
          <w:color w:val="auto"/>
          <w:sz w:val="24"/>
          <w:szCs w:val="24"/>
          <w:highlight w:val="none"/>
        </w:rPr>
        <w:t xml:space="preserve">需方、</w:t>
      </w:r>
      <w:r>
        <w:rPr>
          <w:rFonts w:hAnsi="宋体"/>
          <w:color w:val="auto"/>
          <w:sz w:val="24"/>
          <w:szCs w:val="24"/>
          <w:highlight w:val="none"/>
        </w:rPr>
        <w:t xml:space="preserve">采购人</w:t>
      </w:r>
      <w:r>
        <w:rPr>
          <w:rFonts w:hAnsi="宋体"/>
          <w:color w:val="auto"/>
          <w:sz w:val="24"/>
          <w:szCs w:val="24"/>
          <w:highlight w:val="none"/>
        </w:rPr>
        <w:t xml:space="preserve">）_________</w:t>
      </w:r>
      <w:r>
        <w:rPr>
          <w:color w:val="auto"/>
          <w:highlight w:val="none"/>
        </w:rPr>
      </w:r>
    </w:p>
    <w:p>
      <w:pPr>
        <w:pStyle w:val="944"/>
        <w:spacing w:line="400" w:lineRule="exact"/>
        <w:rPr>
          <w:rFonts w:hint="eastAsia" w:hAnsi="宋体"/>
          <w:color w:val="auto"/>
          <w:sz w:val="24"/>
          <w:szCs w:val="24"/>
          <w:highlight w:val="none"/>
        </w:rPr>
      </w:pPr>
      <w:r>
        <w:rPr>
          <w:rFonts w:hAnsi="宋体"/>
          <w:color w:val="auto"/>
          <w:sz w:val="24"/>
          <w:szCs w:val="24"/>
          <w:highlight w:val="none"/>
        </w:rPr>
        <w:t xml:space="preserve">乙方：（卖方</w:t>
      </w:r>
      <w:r>
        <w:rPr>
          <w:rFonts w:hAnsi="宋体"/>
          <w:color w:val="auto"/>
          <w:sz w:val="24"/>
          <w:szCs w:val="24"/>
          <w:highlight w:val="none"/>
        </w:rPr>
        <w:t xml:space="preserve">、</w:t>
      </w:r>
      <w:r>
        <w:rPr>
          <w:rFonts w:hAnsi="宋体"/>
          <w:color w:val="auto"/>
          <w:sz w:val="24"/>
          <w:szCs w:val="24"/>
          <w:highlight w:val="none"/>
        </w:rPr>
        <w:t xml:space="preserve">供方、</w:t>
      </w:r>
      <w:r>
        <w:rPr>
          <w:rFonts w:hAnsi="宋体"/>
          <w:color w:val="auto"/>
          <w:sz w:val="24"/>
          <w:szCs w:val="24"/>
          <w:highlight w:val="none"/>
        </w:rPr>
        <w:t xml:space="preserve">供应商</w:t>
      </w:r>
      <w:r>
        <w:rPr>
          <w:rFonts w:hAnsi="宋体"/>
          <w:color w:val="auto"/>
          <w:sz w:val="24"/>
          <w:szCs w:val="24"/>
          <w:highlight w:val="none"/>
        </w:rPr>
        <w:t xml:space="preserve">）_________</w:t>
      </w:r>
      <w:r>
        <w:rPr>
          <w:rFonts w:hint="eastAsia" w:hAnsi="宋体"/>
          <w:color w:val="auto"/>
          <w:sz w:val="24"/>
          <w:szCs w:val="24"/>
          <w:highlight w:val="none"/>
        </w:rPr>
      </w:r>
      <w:r>
        <w:rPr>
          <w:color w:val="auto"/>
          <w:highlight w:val="none"/>
        </w:rPr>
      </w:r>
    </w:p>
    <w:p>
      <w:pPr>
        <w:pStyle w:val="944"/>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无锡市公共资源交易中心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rPr>
          <w:rFonts w:hAnsi="宋体"/>
          <w:b/>
          <w:color w:val="auto"/>
          <w:sz w:val="24"/>
          <w:szCs w:val="24"/>
          <w:highlight w:val="none"/>
        </w:rPr>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rPr>
          <w:color w:val="auto"/>
          <w:highlight w:val="none"/>
        </w:rPr>
      </w:r>
    </w:p>
    <w:p>
      <w:pPr>
        <w:pStyle w:val="944"/>
        <w:ind w:firstLine="480"/>
        <w:spacing w:line="400" w:lineRule="exact"/>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 标的数量（规模）：</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1.4 履行时间（期限）：</w:t>
      </w:r>
      <w:r>
        <w:rPr>
          <w:color w:val="auto"/>
          <w:highlight w:val="none"/>
        </w:rPr>
      </w:r>
    </w:p>
    <w:p>
      <w:pPr>
        <w:pStyle w:val="944"/>
        <w:ind w:firstLine="480"/>
        <w:spacing w:line="400" w:lineRule="exact"/>
        <w:rPr>
          <w:rFonts w:hAnsi="宋体"/>
          <w:color w:val="auto"/>
          <w:sz w:val="24"/>
          <w:szCs w:val="24"/>
          <w:highlight w:val="none"/>
        </w:rPr>
      </w:pPr>
      <w:r>
        <w:rPr>
          <w:rFonts w:hint="eastAsia" w:hAnsi="宋体"/>
          <w:color w:val="auto"/>
          <w:sz w:val="24"/>
          <w:szCs w:val="24"/>
          <w:highlight w:val="none"/>
        </w:rPr>
        <w:t xml:space="preserve">1.5 履行地点：</w:t>
      </w:r>
      <w:r>
        <w:rPr>
          <w:rFonts w:hAnsi="宋体"/>
          <w:color w:val="auto"/>
          <w:sz w:val="24"/>
          <w:szCs w:val="24"/>
          <w:highlight w:val="none"/>
        </w:rPr>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rPr>
          <w:rFonts w:hAnsi="宋体"/>
          <w:color w:val="auto"/>
          <w:sz w:val="24"/>
          <w:szCs w:val="24"/>
          <w:highlight w:val="none"/>
        </w:rPr>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2.1 本合同金额为（大写）：</w:t>
      </w:r>
      <w:r>
        <w:rPr>
          <w:rFonts w:hAnsi="宋体"/>
          <w:color w:val="auto"/>
          <w:sz w:val="24"/>
          <w:szCs w:val="24"/>
          <w:highlight w:val="none"/>
        </w:rPr>
        <w:t xml:space="preserve"> </w:t>
      </w:r>
      <w:r>
        <w:rPr>
          <w:rFonts w:hAnsi="宋体"/>
          <w:color w:val="auto"/>
          <w:sz w:val="24"/>
          <w:szCs w:val="24"/>
          <w:highlight w:val="none"/>
        </w:rPr>
        <w:t xml:space="preserve">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rPr>
          <w:color w:val="auto"/>
          <w:highlight w:val="none"/>
        </w:rPr>
      </w:r>
    </w:p>
    <w:p>
      <w:pPr>
        <w:pStyle w:val="944"/>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rPr>
          <w:rFonts w:hint="eastAsia" w:hAnsi="宋体"/>
          <w:color w:val="auto"/>
          <w:sz w:val="24"/>
          <w:szCs w:val="24"/>
          <w:highlight w:val="none"/>
        </w:rPr>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rPr>
          <w:color w:val="auto"/>
          <w:highlight w:val="none"/>
        </w:rPr>
      </w:r>
    </w:p>
    <w:p>
      <w:pPr>
        <w:pStyle w:val="944"/>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p>
    <w:p>
      <w:pPr>
        <w:pStyle w:val="944"/>
        <w:spacing w:line="400" w:lineRule="exact"/>
        <w:rPr>
          <w:rFonts w:hint="eastAsia" w:hAnsi="宋体"/>
          <w:color w:val="auto"/>
          <w:sz w:val="24"/>
          <w:szCs w:val="24"/>
          <w:highlight w:val="none"/>
        </w:rPr>
      </w:pPr>
      <w:r>
        <w:rPr>
          <w:rFonts w:hint="eastAsia" w:hAnsi="宋体"/>
          <w:color w:val="auto"/>
          <w:sz w:val="24"/>
          <w:szCs w:val="24"/>
          <w:highlight w:val="none"/>
        </w:rPr>
        <w:t xml:space="preserve">（</w:t>
      </w:r>
      <w:r>
        <w:rPr>
          <w:rFonts w:hint="eastAsia" w:hAnsi="宋体"/>
          <w:color w:val="auto"/>
          <w:sz w:val="24"/>
          <w:szCs w:val="24"/>
          <w:highlight w:val="none"/>
        </w:rPr>
        <w:t xml:space="preserve">注：采购项目</w:t>
      </w:r>
      <w:r>
        <w:rPr>
          <w:rFonts w:hint="eastAsia" w:hAnsi="宋体"/>
          <w:color w:val="auto"/>
          <w:sz w:val="24"/>
          <w:szCs w:val="24"/>
          <w:highlight w:val="none"/>
        </w:rPr>
        <w:t xml:space="preserve">如</w:t>
      </w:r>
      <w:r>
        <w:rPr>
          <w:rFonts w:hint="eastAsia" w:hAnsi="宋体"/>
          <w:color w:val="auto"/>
          <w:sz w:val="24"/>
          <w:szCs w:val="24"/>
          <w:highlight w:val="none"/>
        </w:rPr>
        <w:t xml:space="preserve">涉及采购标的的知识产权归属、处理的，如订购、设计、定制开发的信息化建设项目等，应当约定知识产权的归属和处理方式）</w:t>
      </w:r>
      <w:r>
        <w:rPr>
          <w:rFonts w:hint="eastAsia" w:hAnsi="宋体"/>
          <w:color w:val="auto"/>
          <w:sz w:val="24"/>
          <w:szCs w:val="24"/>
          <w:highlight w:val="none"/>
        </w:rPr>
      </w:r>
      <w:r>
        <w:rPr>
          <w:color w:val="auto"/>
          <w:highlight w:val="none"/>
        </w:rPr>
      </w:r>
    </w:p>
    <w:p>
      <w:pPr>
        <w:pStyle w:val="944"/>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rPr>
          <w:rFonts w:hAnsi="宋体"/>
          <w:color w:val="auto"/>
          <w:sz w:val="24"/>
          <w:szCs w:val="24"/>
          <w:highlight w:val="none"/>
          <w:u w:val="single"/>
        </w:rPr>
      </w:r>
      <w:r>
        <w:rPr>
          <w:color w:val="auto"/>
          <w:highlight w:val="none"/>
        </w:rPr>
      </w:r>
    </w:p>
    <w:p>
      <w:pPr>
        <w:pStyle w:val="944"/>
        <w:ind w:firstLine="480"/>
        <w:spacing w:line="400" w:lineRule="exact"/>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rPr>
          <w:rFonts w:hAnsi="宋体"/>
          <w:color w:val="auto"/>
          <w:sz w:val="24"/>
          <w:szCs w:val="24"/>
          <w:highlight w:val="none"/>
          <w:u w:val="single"/>
        </w:rPr>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六、履约保证金</w:t>
      </w:r>
      <w:r>
        <w:rPr>
          <w:color w:val="auto"/>
          <w:highlight w:val="none"/>
        </w:rPr>
      </w:r>
    </w:p>
    <w:p>
      <w:pPr>
        <w:pStyle w:val="944"/>
        <w:ind w:firstLine="480"/>
        <w:spacing w:line="400" w:lineRule="exact"/>
        <w:rPr>
          <w:rFonts w:hint="eastAsia" w:hAnsi="宋体"/>
          <w:color w:val="auto"/>
          <w:sz w:val="24"/>
          <w:szCs w:val="24"/>
          <w:highlight w:val="none"/>
        </w:rPr>
      </w:pPr>
      <w:r>
        <w:rPr>
          <w:rFonts w:hAnsi="宋体"/>
          <w:color w:val="auto"/>
          <w:sz w:val="24"/>
          <w:szCs w:val="24"/>
          <w:highlight w:val="none"/>
        </w:rPr>
        <w:t xml:space="preserve">6.1 乙方交纳人民币__元作为本合同的履约保证金。</w:t>
      </w:r>
      <w:r>
        <w:rPr>
          <w:rFonts w:hint="eastAsia" w:hAnsi="宋体"/>
          <w:color w:val="auto"/>
          <w:sz w:val="24"/>
          <w:szCs w:val="24"/>
          <w:highlight w:val="none"/>
        </w:rPr>
        <w:t xml:space="preserve">（不得超过合同金额的10%）</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6.2.1履约保证金退还方式：</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6.2.2履约保证金退还时间：</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6.2.3履约保证金退还条件：</w:t>
      </w:r>
      <w:r>
        <w:rPr>
          <w:color w:val="auto"/>
          <w:highlight w:val="none"/>
        </w:rPr>
      </w:r>
    </w:p>
    <w:p>
      <w:pPr>
        <w:pStyle w:val="944"/>
        <w:ind w:firstLine="480"/>
        <w:spacing w:line="400" w:lineRule="exact"/>
        <w:rPr>
          <w:rFonts w:hAnsi="宋体"/>
          <w:color w:val="auto"/>
          <w:sz w:val="24"/>
          <w:szCs w:val="24"/>
          <w:highlight w:val="none"/>
        </w:rPr>
      </w:pPr>
      <w:r>
        <w:rPr>
          <w:rFonts w:hint="eastAsia" w:hAnsi="宋体"/>
          <w:color w:val="auto"/>
          <w:sz w:val="24"/>
          <w:szCs w:val="24"/>
          <w:highlight w:val="none"/>
        </w:rPr>
        <w:t xml:space="preserve">6.2.4履约保证金不予退还的情形：</w:t>
      </w:r>
      <w:r>
        <w:rPr>
          <w:rFonts w:hAnsi="宋体"/>
          <w:color w:val="auto"/>
          <w:sz w:val="24"/>
          <w:szCs w:val="24"/>
          <w:highlight w:val="none"/>
        </w:rPr>
      </w:r>
      <w:r>
        <w:rPr>
          <w:color w:val="auto"/>
          <w:highlight w:val="none"/>
        </w:rPr>
      </w:r>
    </w:p>
    <w:p>
      <w:pPr>
        <w:pStyle w:val="905"/>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rPr>
          <w:rFonts w:ascii="宋体" w:hAnsi="宋体" w:eastAsia="仿宋_GB2312"/>
          <w:b/>
          <w:color w:val="auto"/>
          <w:sz w:val="24"/>
          <w:szCs w:val="24"/>
          <w:highlight w:val="none"/>
        </w:rPr>
      </w:r>
      <w:r>
        <w:rPr>
          <w:color w:val="auto"/>
          <w:highlight w:val="none"/>
        </w:rPr>
      </w:r>
    </w:p>
    <w:p>
      <w:pPr>
        <w:pStyle w:val="905"/>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rPr>
          <w:color w:val="auto"/>
          <w:highlight w:val="none"/>
        </w:rPr>
      </w:r>
    </w:p>
    <w:p>
      <w:pPr>
        <w:pStyle w:val="905"/>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w:t>
      </w:r>
      <w:r>
        <w:rPr>
          <w:rFonts w:hint="eastAsia" w:ascii="宋体" w:hAnsi="宋体"/>
          <w:color w:val="auto"/>
          <w:sz w:val="24"/>
          <w:szCs w:val="24"/>
          <w:highlight w:val="none"/>
        </w:rPr>
        <w:t xml:space="preserve">应按招标文件要求</w:t>
      </w:r>
      <w:r>
        <w:rPr>
          <w:rFonts w:hint="eastAsia" w:ascii="宋体" w:hAnsi="宋体"/>
          <w:color w:val="auto"/>
          <w:sz w:val="24"/>
          <w:szCs w:val="24"/>
          <w:highlight w:val="none"/>
        </w:rPr>
        <w:t xml:space="preserve">，如项目不允许分包的，乙方</w:t>
      </w:r>
      <w:r>
        <w:rPr>
          <w:rFonts w:hint="eastAsia" w:ascii="宋体" w:hAnsi="宋体"/>
          <w:color w:val="auto"/>
          <w:sz w:val="24"/>
          <w:szCs w:val="24"/>
          <w:highlight w:val="none"/>
        </w:rPr>
        <w:t xml:space="preserve">不得将合同标的分包给他人履行</w:t>
      </w:r>
      <w:r>
        <w:rPr>
          <w:rFonts w:hint="eastAsia" w:ascii="宋体" w:hAnsi="宋体"/>
          <w:color w:val="auto"/>
          <w:sz w:val="24"/>
          <w:szCs w:val="24"/>
          <w:highlight w:val="none"/>
        </w:rPr>
        <w:t xml:space="preserve">；如项目允许分包的，乙方</w:t>
      </w:r>
      <w:r>
        <w:rPr>
          <w:rFonts w:hint="eastAsia" w:ascii="宋体" w:hAnsi="宋体"/>
          <w:color w:val="auto"/>
          <w:sz w:val="24"/>
          <w:szCs w:val="24"/>
          <w:highlight w:val="none"/>
        </w:rPr>
        <w:t xml:space="preserve">应当按照投标文件中提供的分包意向协议履行合同。</w:t>
      </w:r>
      <w:r>
        <w:rPr>
          <w:rFonts w:hint="eastAsia" w:ascii="宋体" w:hAnsi="宋体"/>
          <w:color w:val="auto"/>
          <w:sz w:val="24"/>
          <w:szCs w:val="24"/>
          <w:highlight w:val="none"/>
        </w:rPr>
      </w:r>
      <w:r>
        <w:rPr>
          <w:color w:val="auto"/>
          <w:highlight w:val="none"/>
        </w:rPr>
      </w:r>
    </w:p>
    <w:p>
      <w:pPr>
        <w:pStyle w:val="905"/>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rPr>
          <w:rFonts w:ascii="宋体" w:hAnsi="宋体" w:eastAsia="仿宋_GB2312"/>
          <w:color w:val="auto"/>
          <w:sz w:val="24"/>
          <w:szCs w:val="24"/>
          <w:highlight w:val="none"/>
        </w:rPr>
      </w:r>
      <w:r>
        <w:rPr>
          <w:color w:val="auto"/>
          <w:highlight w:val="none"/>
        </w:rPr>
      </w:r>
    </w:p>
    <w:p>
      <w:pPr>
        <w:pStyle w:val="944"/>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rPr>
          <w:color w:val="auto"/>
          <w:highlight w:val="none"/>
        </w:rPr>
      </w:r>
    </w:p>
    <w:p>
      <w:pPr>
        <w:pStyle w:val="944"/>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8.1.1</w:t>
      </w:r>
      <w:r>
        <w:rPr>
          <w:rFonts w:hint="eastAsia" w:hAnsi="宋体" w:cs="Courier New"/>
          <w:bCs/>
          <w:color w:val="auto"/>
          <w:sz w:val="24"/>
          <w:szCs w:val="24"/>
          <w:highlight w:val="none"/>
        </w:rPr>
        <w:t xml:space="preserve">预付款支付时间：</w:t>
      </w:r>
      <w:r>
        <w:rPr>
          <w:rFonts w:hint="eastAsia" w:hAnsi="宋体" w:cs="Courier New"/>
          <w:bCs/>
          <w:color w:val="auto"/>
          <w:sz w:val="24"/>
          <w:szCs w:val="24"/>
          <w:highlight w:val="none"/>
          <w:u w:val="single"/>
        </w:rPr>
        <w:t xml:space="preserve">               </w:t>
      </w:r>
      <w:r>
        <w:rPr>
          <w:rFonts w:hint="eastAsia" w:hAnsi="宋体" w:cs="Courier New"/>
          <w:bCs/>
          <w:color w:val="auto"/>
          <w:sz w:val="24"/>
          <w:szCs w:val="24"/>
          <w:highlight w:val="none"/>
        </w:rPr>
        <w:t xml:space="preserve">，预付款支付比例：</w:t>
      </w:r>
      <w:r>
        <w:rPr>
          <w:rFonts w:hint="eastAsia" w:hAnsi="宋体" w:cs="Courier New"/>
          <w:bCs/>
          <w:color w:val="auto"/>
          <w:sz w:val="24"/>
          <w:szCs w:val="24"/>
          <w:highlight w:val="none"/>
          <w:u w:val="single"/>
        </w:rPr>
        <w:t xml:space="preserve">         </w:t>
      </w:r>
      <w:r>
        <w:rPr>
          <w:rFonts w:hint="eastAsia" w:hAnsi="宋体" w:cs="Courier New"/>
          <w:bCs/>
          <w:color w:val="auto"/>
          <w:sz w:val="24"/>
          <w:szCs w:val="24"/>
          <w:highlight w:val="none"/>
        </w:rPr>
        <w:t xml:space="preserve">。</w:t>
      </w:r>
      <w:r>
        <w:rPr>
          <w:rFonts w:hint="eastAsia" w:hAnsi="宋体"/>
          <w:color w:val="auto"/>
          <w:sz w:val="24"/>
          <w:szCs w:val="24"/>
          <w:highlight w:val="none"/>
        </w:rPr>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8.1.2</w:t>
      </w:r>
      <w:r>
        <w:rPr>
          <w:rFonts w:hint="eastAsia" w:hAnsi="宋体" w:cs="Courier New"/>
          <w:bCs/>
          <w:color w:val="auto"/>
          <w:sz w:val="24"/>
          <w:szCs w:val="24"/>
          <w:highlight w:val="none"/>
        </w:rPr>
        <w:t xml:space="preserve">尾款支付时间：</w:t>
      </w:r>
      <w:r>
        <w:rPr>
          <w:rFonts w:hint="eastAsia" w:hAnsi="宋体" w:cs="Courier New"/>
          <w:bCs/>
          <w:color w:val="auto"/>
          <w:sz w:val="24"/>
          <w:szCs w:val="24"/>
          <w:highlight w:val="none"/>
          <w:u w:val="single"/>
        </w:rPr>
        <w:t xml:space="preserve">                 </w:t>
      </w:r>
      <w:r>
        <w:rPr>
          <w:rFonts w:hint="eastAsia" w:hAnsi="宋体" w:cs="Courier New"/>
          <w:bCs/>
          <w:color w:val="auto"/>
          <w:sz w:val="24"/>
          <w:szCs w:val="24"/>
          <w:highlight w:val="none"/>
        </w:rPr>
        <w:t xml:space="preserve">。</w:t>
      </w:r>
      <w:r>
        <w:rPr>
          <w:rFonts w:hint="eastAsia" w:hAnsi="宋体"/>
          <w:color w:val="auto"/>
          <w:sz w:val="24"/>
          <w:szCs w:val="24"/>
          <w:highlight w:val="none"/>
        </w:rPr>
      </w:r>
      <w:r>
        <w:rPr>
          <w:color w:val="auto"/>
          <w:highlight w:val="none"/>
        </w:rPr>
      </w:r>
    </w:p>
    <w:p>
      <w:pPr>
        <w:pStyle w:val="905"/>
        <w:spacing w:line="4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注：（1）根据《关于做好政府采购支持企业发展有关事项的通知》（苏采购</w:t>
      </w:r>
      <w:r>
        <w:rPr>
          <w:rFonts w:hint="eastAsia" w:ascii="宋体" w:hAnsi="宋体" w:cs="Courier New"/>
          <w:bCs/>
          <w:color w:val="auto"/>
          <w:sz w:val="24"/>
          <w:szCs w:val="24"/>
          <w:highlight w:val="none"/>
        </w:rPr>
        <w:t xml:space="preserve">〔2020〕52</w:t>
      </w:r>
      <w:r>
        <w:rPr>
          <w:rFonts w:hint="eastAsia" w:ascii="宋体" w:hAnsi="宋体"/>
          <w:bCs/>
          <w:color w:val="auto"/>
          <w:sz w:val="24"/>
          <w:szCs w:val="24"/>
          <w:highlight w:val="none"/>
        </w:rPr>
        <w:t xml:space="preserve">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rPr>
          <w:color w:val="auto"/>
          <w:highlight w:val="none"/>
        </w:rPr>
      </w:r>
    </w:p>
    <w:p>
      <w:pPr>
        <w:pStyle w:val="905"/>
        <w:spacing w:line="400" w:lineRule="exact"/>
        <w:rPr>
          <w:rFonts w:hint="eastAsia" w:ascii="宋体" w:hAnsi="宋体" w:cs="Courier New"/>
          <w:bCs/>
          <w:color w:val="auto"/>
          <w:sz w:val="24"/>
          <w:szCs w:val="24"/>
          <w:highlight w:val="none"/>
        </w:rPr>
      </w:pP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2</w:t>
      </w:r>
      <w:r>
        <w:rPr>
          <w:rFonts w:ascii="宋体" w:hAnsi="宋体" w:cs="Courier New"/>
          <w:bCs/>
          <w:color w:val="auto"/>
          <w:sz w:val="24"/>
          <w:szCs w:val="24"/>
          <w:highlight w:val="none"/>
        </w:rPr>
        <w:t xml:space="preserve">）根据《</w:t>
      </w:r>
      <w:r>
        <w:rPr>
          <w:rFonts w:hint="eastAsia" w:ascii="宋体" w:hAnsi="宋体" w:cs="Courier New"/>
          <w:bCs/>
          <w:color w:val="auto"/>
          <w:sz w:val="24"/>
          <w:szCs w:val="24"/>
          <w:highlight w:val="none"/>
        </w:rPr>
        <w:t xml:space="preserve">关于进一步提高政府采购透明度和采购效率相关事项的通知</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财办库〔2023〕243号</w:t>
      </w:r>
      <w:r>
        <w:rPr>
          <w:rFonts w:ascii="宋体" w:hAnsi="宋体" w:cs="Courier New"/>
          <w:bCs/>
          <w:color w:val="auto"/>
          <w:sz w:val="24"/>
          <w:szCs w:val="24"/>
          <w:highlight w:val="none"/>
        </w:rPr>
        <w:t xml:space="preserve">）</w:t>
      </w:r>
      <w:r>
        <w:rPr>
          <w:rFonts w:hint="eastAsia" w:ascii="宋体" w:hAnsi="宋体" w:cs="Courier New"/>
          <w:bCs/>
          <w:color w:val="auto"/>
          <w:sz w:val="24"/>
          <w:szCs w:val="24"/>
          <w:highlight w:val="none"/>
        </w:rPr>
        <w:t xml:space="preserve">规定，对于满足合同约定支付条件的，采购人原则上应当自收到发票后10个工作日内将资金支付到合同约定的供应商账户，鼓励采购人完善内部流程，自收到发票后1个工作日内完成资金支付事宜。</w:t>
      </w:r>
      <w:r>
        <w:rPr>
          <w:color w:val="auto"/>
          <w:highlight w:val="none"/>
        </w:rPr>
      </w:r>
    </w:p>
    <w:p>
      <w:pPr>
        <w:pStyle w:val="905"/>
        <w:spacing w:line="400" w:lineRule="exact"/>
        <w:rPr>
          <w:rFonts w:hint="eastAsia" w:hAnsi="宋体"/>
          <w:bCs/>
          <w:color w:val="auto"/>
          <w:sz w:val="24"/>
          <w:szCs w:val="24"/>
          <w:highlight w:val="none"/>
        </w:rPr>
      </w:pPr>
      <w:r>
        <w:rPr>
          <w:rFonts w:hint="eastAsia" w:ascii="宋体" w:hAnsi="宋体" w:cs="Courier New"/>
          <w:bCs/>
          <w:color w:val="auto"/>
          <w:sz w:val="24"/>
          <w:szCs w:val="24"/>
          <w:highlight w:val="none"/>
        </w:rPr>
        <w:t xml:space="preserve">（3）</w:t>
      </w:r>
      <w:r>
        <w:rPr>
          <w:rFonts w:hint="eastAsia" w:ascii="宋体"/>
          <w:bCs/>
          <w:color w:val="auto"/>
          <w:sz w:val="24"/>
          <w:szCs w:val="24"/>
          <w:highlight w:val="none"/>
        </w:rPr>
        <w:t xml:space="preserve">根据《保障中小企业款项支付条例》（中华人民共和国国务院令第802号）规定，如中标单位为中小企业，机关、事业单位和国有大型企业不得强制要求以审计机关的审计结果作为结算依据，法律、行政法规另有规定的除外。</w:t>
      </w:r>
      <w:r>
        <w:rPr>
          <w:rFonts w:hint="eastAsia" w:hAnsi="宋体"/>
          <w:bCs/>
          <w:color w:val="auto"/>
          <w:sz w:val="24"/>
          <w:szCs w:val="24"/>
          <w:highlight w:val="none"/>
        </w:rPr>
      </w:r>
      <w:r>
        <w:rPr>
          <w:color w:val="auto"/>
          <w:highlight w:val="none"/>
        </w:rPr>
      </w:r>
    </w:p>
    <w:p>
      <w:pPr>
        <w:pStyle w:val="905"/>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rPr>
          <w:rFonts w:ascii="宋体" w:hAnsi="宋体" w:eastAsia="仿宋_GB2312"/>
          <w:b/>
          <w:color w:val="auto"/>
          <w:sz w:val="24"/>
          <w:szCs w:val="24"/>
          <w:highlight w:val="none"/>
        </w:rPr>
      </w:r>
      <w:r>
        <w:rPr>
          <w:color w:val="auto"/>
          <w:highlight w:val="none"/>
        </w:rPr>
      </w:r>
    </w:p>
    <w:p>
      <w:pPr>
        <w:pStyle w:val="905"/>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rPr>
          <w:rFonts w:ascii="宋体" w:hAnsi="宋体" w:eastAsia="仿宋_GB2312"/>
          <w:color w:val="auto"/>
          <w:sz w:val="24"/>
          <w:szCs w:val="24"/>
          <w:highlight w:val="none"/>
        </w:rPr>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》。乙方在履约过程中有政府采购法律法规规定的违法违规情形的,甲方将及时报告本级财政部门。</w:t>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rPr>
          <w:rFonts w:hAnsi="宋体"/>
          <w:b/>
          <w:color w:val="auto"/>
          <w:sz w:val="24"/>
          <w:szCs w:val="24"/>
          <w:highlight w:val="none"/>
        </w:rPr>
      </w:r>
      <w:r>
        <w:rPr>
          <w:color w:val="auto"/>
          <w:highlight w:val="none"/>
        </w:rPr>
      </w:r>
    </w:p>
    <w:p>
      <w:pPr>
        <w:pStyle w:val="944"/>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rPr>
          <w:color w:val="auto"/>
          <w:highlight w:val="none"/>
        </w:rPr>
      </w:r>
    </w:p>
    <w:p>
      <w:pPr>
        <w:pStyle w:val="944"/>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w:t>
      </w:r>
      <w:r>
        <w:rPr>
          <w:rFonts w:hAnsi="宋体"/>
          <w:b/>
          <w:color w:val="auto"/>
          <w:sz w:val="24"/>
          <w:szCs w:val="24"/>
          <w:highlight w:val="none"/>
        </w:rPr>
        <w:t xml:space="preserve">其他</w:t>
      </w:r>
      <w:r>
        <w:rPr>
          <w:rFonts w:hAnsi="宋体"/>
          <w:b/>
          <w:color w:val="auto"/>
          <w:sz w:val="24"/>
          <w:szCs w:val="24"/>
          <w:highlight w:val="none"/>
        </w:rPr>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《中华人民共和国政府采购法》</w:t>
      </w:r>
      <w:r>
        <w:rPr>
          <w:rFonts w:hAnsi="宋体"/>
          <w:color w:val="auto"/>
          <w:sz w:val="24"/>
          <w:szCs w:val="24"/>
          <w:highlight w:val="none"/>
        </w:rPr>
        <w:t xml:space="preserve">有关条文执行。</w:t>
      </w:r>
      <w:r>
        <w:rPr>
          <w:color w:val="auto"/>
          <w:highlight w:val="none"/>
        </w:rPr>
      </w:r>
    </w:p>
    <w:p>
      <w:pPr>
        <w:pStyle w:val="944"/>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rPr>
          <w:color w:val="auto"/>
          <w:highlight w:val="none"/>
        </w:rPr>
      </w:r>
    </w:p>
    <w:p>
      <w:pPr>
        <w:pStyle w:val="944"/>
        <w:ind w:left="480" w:hanging="480"/>
        <w:spacing w:line="400" w:lineRule="exact"/>
        <w:rPr>
          <w:rFonts w:hAnsi="宋体"/>
          <w:color w:val="auto"/>
          <w:sz w:val="24"/>
          <w:szCs w:val="24"/>
          <w:highlight w:val="none"/>
        </w:rPr>
      </w:pPr>
      <w:r>
        <w:rPr>
          <w:rFonts w:hAnsi="宋体"/>
          <w:color w:val="auto"/>
          <w:sz w:val="24"/>
          <w:szCs w:val="24"/>
          <w:highlight w:val="none"/>
        </w:rPr>
        <w:t xml:space="preserve">  甲方：                        乙方： </w:t>
      </w:r>
      <w:r>
        <w:rPr>
          <w:color w:val="auto"/>
          <w:highlight w:val="none"/>
        </w:rPr>
      </w:r>
    </w:p>
    <w:p>
      <w:pPr>
        <w:pStyle w:val="944"/>
        <w:spacing w:line="400" w:lineRule="exac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rPr>
          <w:color w:val="auto"/>
          <w:highlight w:val="none"/>
        </w:rPr>
      </w:r>
    </w:p>
    <w:p>
      <w:pPr>
        <w:pStyle w:val="944"/>
        <w:spacing w:line="40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rPr>
          <w:color w:val="auto"/>
          <w:highlight w:val="none"/>
        </w:rPr>
      </w:r>
    </w:p>
    <w:p>
      <w:pPr>
        <w:pStyle w:val="944"/>
        <w:ind w:firstLine="240"/>
        <w:spacing w:line="400" w:lineRule="exact"/>
        <w:rPr>
          <w:rFonts w:hint="eastAsia"/>
          <w:color w:val="auto"/>
          <w:highlight w:val="none"/>
        </w:rPr>
      </w:pPr>
      <w:r>
        <w:rPr>
          <w:rFonts w:hint="eastAsia" w:hAnsi="宋体"/>
          <w:color w:val="auto"/>
          <w:sz w:val="24"/>
          <w:szCs w:val="24"/>
          <w:highlight w:val="none"/>
        </w:rPr>
        <w:t xml:space="preserve">联系电话：                    联系电话：          </w:t>
      </w:r>
      <w:r>
        <w:rPr>
          <w:rFonts w:hint="eastAsia"/>
          <w:color w:val="auto"/>
          <w:highlight w:val="none"/>
        </w:rPr>
      </w:r>
      <w:r>
        <w:rPr>
          <w:color w:val="auto"/>
          <w:highlight w:val="none"/>
        </w:rPr>
      </w:r>
    </w:p>
    <w:p>
      <w:pPr>
        <w:pStyle w:val="905"/>
        <w:ind w:firstLine="480"/>
        <w:spacing w:line="40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rPr>
          <w:color w:val="auto"/>
          <w:sz w:val="24"/>
          <w:szCs w:val="24"/>
          <w:highlight w:val="none"/>
        </w:rPr>
      </w:r>
      <w:r>
        <w:rPr>
          <w:color w:val="auto"/>
          <w:highlight w:val="none"/>
        </w:rPr>
      </w:r>
    </w:p>
    <w:p>
      <w:pPr>
        <w:pStyle w:val="905"/>
        <w:ind w:firstLine="480"/>
        <w:jc w:val="center"/>
        <w:spacing w:line="400" w:lineRule="exact"/>
        <w:rPr>
          <w:rFonts w:hint="eastAsia" w:ascii="黑体" w:hAnsi="黑体" w:eastAsia="黑体"/>
          <w:color w:val="auto"/>
          <w:sz w:val="36"/>
          <w:szCs w:val="36"/>
          <w:highlight w:val="none"/>
        </w:rPr>
      </w:pPr>
      <w:r>
        <w:rPr>
          <w:color w:val="auto"/>
          <w:sz w:val="24"/>
          <w:szCs w:val="24"/>
          <w:highlight w:val="none"/>
        </w:rPr>
        <w:br w:type="page" w:clear="all"/>
      </w:r>
      <w:bookmarkEnd w:id="181"/>
      <w:r>
        <w:rPr>
          <w:color w:val="auto"/>
          <w:highlight w:val="none"/>
        </w:rPr>
      </w:r>
      <w:bookmarkEnd w:id="182"/>
      <w:r>
        <w:rPr>
          <w:color w:val="auto"/>
          <w:highlight w:val="none"/>
        </w:rPr>
      </w:r>
      <w:bookmarkEnd w:id="183"/>
      <w:r>
        <w:rPr>
          <w:color w:val="auto"/>
          <w:highlight w:val="none"/>
        </w:rPr>
      </w:r>
      <w:bookmarkStart w:id="184" w:name="_Hlt16619369"/>
      <w:r>
        <w:rPr>
          <w:color w:val="auto"/>
          <w:highlight w:val="none"/>
        </w:rPr>
      </w:r>
      <w:bookmarkEnd w:id="184"/>
      <w:r>
        <w:rPr>
          <w:color w:val="auto"/>
          <w:highlight w:val="none"/>
        </w:rPr>
      </w:r>
      <w:bookmarkStart w:id="185" w:name="_Hlt16619350"/>
      <w:r>
        <w:rPr>
          <w:color w:val="auto"/>
          <w:highlight w:val="none"/>
        </w:rPr>
      </w:r>
      <w:bookmarkStart w:id="186" w:name="_Toc20823346"/>
      <w:r>
        <w:rPr>
          <w:color w:val="auto"/>
          <w:highlight w:val="none"/>
        </w:rPr>
      </w:r>
      <w:bookmarkStart w:id="187" w:name="_Toc16938590"/>
      <w:r>
        <w:rPr>
          <w:color w:val="auto"/>
          <w:highlight w:val="none"/>
        </w:rPr>
      </w:r>
      <w:bookmarkStart w:id="188" w:name="_Toc120614244"/>
      <w:r>
        <w:rPr>
          <w:color w:val="auto"/>
          <w:highlight w:val="none"/>
        </w:rPr>
      </w:r>
      <w:bookmarkStart w:id="189" w:name="_Toc479757211"/>
      <w:r>
        <w:rPr>
          <w:color w:val="auto"/>
          <w:highlight w:val="none"/>
        </w:rPr>
      </w:r>
      <w:bookmarkStart w:id="190" w:name="_Toc462564139"/>
      <w:r>
        <w:rPr>
          <w:rFonts w:hint="eastAsia" w:ascii="黑体" w:hAnsi="黑体" w:eastAsia="黑体"/>
          <w:color w:val="auto"/>
          <w:sz w:val="36"/>
          <w:szCs w:val="36"/>
          <w:highlight w:val="none"/>
        </w:rPr>
        <w:t xml:space="preserve">第</w:t>
      </w:r>
      <w:bookmarkEnd w:id="185"/>
      <w:r>
        <w:rPr>
          <w:rFonts w:hint="eastAsia" w:ascii="黑体" w:hAnsi="黑体" w:eastAsia="黑体"/>
          <w:color w:val="auto"/>
          <w:sz w:val="36"/>
          <w:szCs w:val="36"/>
          <w:highlight w:val="none"/>
        </w:rPr>
        <w:t xml:space="preserve">四章 采购需求</w:t>
      </w:r>
      <w:bookmarkEnd w:id="186"/>
      <w:r>
        <w:rPr>
          <w:color w:val="auto"/>
          <w:highlight w:val="none"/>
        </w:rPr>
      </w:r>
      <w:bookmarkEnd w:id="187"/>
      <w:r>
        <w:rPr>
          <w:color w:val="auto"/>
          <w:highlight w:val="none"/>
        </w:rPr>
      </w:r>
      <w:bookmarkEnd w:id="188"/>
      <w:r>
        <w:rPr>
          <w:rFonts w:hint="eastAsia" w:ascii="黑体" w:hAnsi="黑体" w:eastAsia="黑体"/>
          <w:color w:val="auto"/>
          <w:sz w:val="36"/>
          <w:szCs w:val="36"/>
          <w:highlight w:val="none"/>
        </w:rPr>
      </w:r>
      <w:r>
        <w:rPr>
          <w:color w:val="auto"/>
          <w:highlight w:val="none"/>
        </w:rPr>
      </w:r>
    </w:p>
    <w:p>
      <w:pPr>
        <w:pStyle w:val="905"/>
        <w:ind w:firstLine="600"/>
        <w:jc w:val="left"/>
        <w:spacing w:line="360" w:lineRule="auto"/>
        <w:rPr>
          <w:rFonts w:hint="eastAsia" w:ascii="黑体" w:hAnsi="黑体" w:eastAsia="黑体"/>
          <w:color w:val="auto"/>
          <w:sz w:val="30"/>
          <w:szCs w:val="30"/>
          <w:highlight w:val="none"/>
        </w:rPr>
      </w:pPr>
      <w:r>
        <w:rPr>
          <w:color w:val="auto"/>
          <w:highlight w:val="none"/>
        </w:rPr>
      </w:r>
      <w:bookmarkStart w:id="191" w:name="_Toc49090575"/>
      <w:r>
        <w:rPr>
          <w:color w:val="auto"/>
          <w:highlight w:val="none"/>
        </w:rPr>
      </w:r>
      <w:bookmarkStart w:id="192" w:name="_Toc26554093"/>
      <w:r>
        <w:rPr>
          <w:rFonts w:hint="eastAsia" w:ascii="黑体" w:hAnsi="黑体" w:eastAsia="黑体"/>
          <w:color w:val="auto"/>
          <w:sz w:val="30"/>
          <w:szCs w:val="30"/>
          <w:highlight w:val="none"/>
        </w:rPr>
        <w:t xml:space="preserve">本项目属性：服务类项目</w:t>
      </w:r>
      <w:r>
        <w:rPr>
          <w:color w:val="auto"/>
          <w:highlight w:val="none"/>
        </w:rPr>
      </w:r>
    </w:p>
    <w:p>
      <w:pPr>
        <w:pStyle w:val="905"/>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本项目标的物所属行业：软件和信息技术服务业</w:t>
      </w:r>
      <w:r>
        <w:rPr>
          <w:color w:val="auto"/>
          <w:highlight w:val="none"/>
        </w:rPr>
      </w:r>
    </w:p>
    <w:p>
      <w:pPr>
        <w:pStyle w:val="905"/>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一、项目概况</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rPr>
        <w:t xml:space="preserve">项目名称</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无锡市公共机构节能信息化“一张网”监管平台建设项目</w:t>
      </w:r>
      <w:r>
        <w:rPr>
          <w:rFonts w:hint="eastAsia" w:ascii="宋体" w:hAnsi="宋体"/>
          <w:bCs/>
          <w:color w:val="auto"/>
          <w:sz w:val="24"/>
          <w:szCs w:val="24"/>
          <w:highlight w:val="none"/>
        </w:rPr>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w:t>
      </w:r>
      <w:r>
        <w:rPr>
          <w:rFonts w:hint="eastAsia" w:ascii="宋体" w:hAnsi="宋体"/>
          <w:b/>
          <w:bCs/>
          <w:color w:val="auto"/>
          <w:sz w:val="24"/>
          <w:szCs w:val="24"/>
          <w:highlight w:val="none"/>
        </w:rPr>
        <w:t xml:space="preserve">项目概述</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为进一步提升全市公共机构能源信息化管理水平，拟建立无锡市公共机构节能信息化“一张网”监管平台，平台将全市1700余家公共机构的水、电、气等能源资源数据通过信息化手段，实现统计、分析、监控、考核等统一管理。同时，为全市各级公共机构加强日常节能管理提供有效方法和举措。平台将实现对公共机构节能各项指标数据进行远程监控管理、综合分析和科学研判，有效减少能源资源浪费，为我市率先实现“双碳”目标，做出有力的贡献。</w:t>
      </w:r>
      <w:r>
        <w:rPr>
          <w:rFonts w:hint="eastAsia" w:ascii="宋体" w:hAnsi="宋体"/>
          <w:bCs/>
          <w:color w:val="auto"/>
          <w:sz w:val="24"/>
          <w:szCs w:val="24"/>
          <w:highlight w:val="none"/>
        </w:rPr>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3.建设依据</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  </w:t>
      </w:r>
      <w:r>
        <w:rPr>
          <w:rFonts w:hint="eastAsia" w:ascii="宋体" w:hAnsi="宋体"/>
          <w:bCs/>
          <w:color w:val="auto"/>
          <w:sz w:val="24"/>
          <w:szCs w:val="24"/>
          <w:highlight w:val="none"/>
        </w:rPr>
        <w:t xml:space="preserve">政策依据</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（1）中共中央、国务院关于加快经济社会发展全面绿色转型的意见</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（2）国家机关事务管理局、国家发展和改革委员会、财政部、生态环境部关于印发深入开展公共机构绿色低碳引领行动，促进碳达峰实施方案的通知</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（3）江苏省委办公厅、省政府办公厅关于印发深入开展公共机构绿色低碳引领行动实施方案的通知</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（4）无锡市政府关于印发无锡市碳达峰实施方案的通知</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（5）无锡市政府关于印发无锡市加快经济社会发展全面绿色转型若干政策举措的通知</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（6）无锡市深入开展绿色低碳引领行动、大力推进公共机构碳达峰、碳中和实施方案</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  </w:t>
      </w:r>
      <w:r>
        <w:rPr>
          <w:rFonts w:hint="eastAsia" w:ascii="宋体" w:hAnsi="宋体"/>
          <w:bCs/>
          <w:color w:val="auto"/>
          <w:sz w:val="24"/>
          <w:szCs w:val="24"/>
          <w:highlight w:val="none"/>
        </w:rPr>
        <w:t xml:space="preserve">技术依据</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（1）《用能单位能源计量器具配备和管理通则》（</w:t>
      </w:r>
      <w:bookmarkStart w:id="193" w:name="OLE_LINK12"/>
      <w:r>
        <w:rPr>
          <w:color w:val="auto"/>
          <w:highlight w:val="none"/>
        </w:rPr>
      </w:r>
      <w:bookmarkStart w:id="194" w:name="OLE_LINK13"/>
      <w:r>
        <w:rPr>
          <w:color w:val="auto"/>
          <w:highlight w:val="none"/>
        </w:rPr>
      </w:r>
      <w:bookmarkStart w:id="195" w:name="OLE_LINK22"/>
      <w:r>
        <w:rPr>
          <w:rFonts w:hint="eastAsia" w:ascii="宋体" w:hAnsi="宋体"/>
          <w:bCs/>
          <w:color w:val="auto"/>
          <w:sz w:val="24"/>
          <w:szCs w:val="24"/>
          <w:highlight w:val="none"/>
        </w:rPr>
        <w:t xml:space="preserve">GB/T 17167-2006</w:t>
      </w:r>
      <w:bookmarkEnd w:id="193"/>
      <w:r>
        <w:rPr>
          <w:color w:val="auto"/>
          <w:highlight w:val="none"/>
        </w:rPr>
      </w:r>
      <w:bookmarkEnd w:id="194"/>
      <w:r>
        <w:rPr>
          <w:color w:val="auto"/>
          <w:highlight w:val="none"/>
        </w:rPr>
      </w:r>
      <w:bookmarkEnd w:id="195"/>
      <w:r>
        <w:rPr>
          <w:rFonts w:hint="eastAsia" w:ascii="宋体" w:hAnsi="宋体"/>
          <w:bCs/>
          <w:color w:val="auto"/>
          <w:sz w:val="24"/>
          <w:szCs w:val="24"/>
          <w:highlight w:val="none"/>
        </w:rPr>
        <w:t xml:space="preserve">）</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（2）《综合能耗计算通则》（</w:t>
      </w:r>
      <w:bookmarkStart w:id="196" w:name="OLE_LINK14"/>
      <w:r>
        <w:rPr>
          <w:color w:val="auto"/>
          <w:highlight w:val="none"/>
        </w:rPr>
      </w:r>
      <w:bookmarkStart w:id="197" w:name="OLE_LINK15"/>
      <w:r>
        <w:rPr>
          <w:rFonts w:hint="eastAsia" w:ascii="宋体" w:hAnsi="宋体"/>
          <w:bCs/>
          <w:color w:val="auto"/>
          <w:sz w:val="24"/>
          <w:szCs w:val="24"/>
          <w:highlight w:val="none"/>
        </w:rPr>
        <w:t xml:space="preserve">GB/T 2589</w:t>
      </w:r>
      <w:bookmarkEnd w:id="196"/>
      <w:r>
        <w:rPr>
          <w:color w:val="auto"/>
          <w:highlight w:val="none"/>
        </w:rPr>
      </w:r>
      <w:bookmarkEnd w:id="197"/>
      <w:r>
        <w:rPr>
          <w:rFonts w:hint="eastAsia" w:ascii="宋体" w:hAnsi="宋体"/>
          <w:bCs/>
          <w:color w:val="auto"/>
          <w:sz w:val="24"/>
          <w:szCs w:val="24"/>
          <w:highlight w:val="none"/>
        </w:rPr>
        <w:t xml:space="preserve">-2020）</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（3）《通信布线管道和空间设计施工标准》（EIA/TIA 569）</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（4）《信息安全技术 网络安全等级保护安全设计技术要求》(</w:t>
      </w:r>
      <w:bookmarkStart w:id="198" w:name="OLE_LINK16"/>
      <w:r>
        <w:rPr>
          <w:color w:val="auto"/>
          <w:highlight w:val="none"/>
        </w:rPr>
      </w:r>
      <w:bookmarkStart w:id="199" w:name="OLE_LINK17"/>
      <w:r>
        <w:rPr>
          <w:rFonts w:hint="eastAsia" w:ascii="宋体" w:hAnsi="宋体"/>
          <w:bCs/>
          <w:color w:val="auto"/>
          <w:sz w:val="24"/>
          <w:szCs w:val="24"/>
          <w:highlight w:val="none"/>
        </w:rPr>
        <w:t xml:space="preserve">GB/T 25070</w:t>
      </w:r>
      <w:bookmarkEnd w:id="198"/>
      <w:r>
        <w:rPr>
          <w:color w:val="auto"/>
          <w:highlight w:val="none"/>
        </w:rPr>
      </w:r>
      <w:bookmarkEnd w:id="199"/>
      <w:r>
        <w:rPr>
          <w:rFonts w:hint="eastAsia" w:ascii="宋体" w:hAnsi="宋体"/>
          <w:bCs/>
          <w:color w:val="auto"/>
          <w:sz w:val="24"/>
          <w:szCs w:val="24"/>
          <w:highlight w:val="none"/>
        </w:rPr>
        <w:t xml:space="preserve">-2019)</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（5）《信息安全技术 网络安全等级保护基本要求》(</w:t>
      </w:r>
      <w:bookmarkStart w:id="200" w:name="OLE_LINK18"/>
      <w:r>
        <w:rPr>
          <w:color w:val="auto"/>
          <w:highlight w:val="none"/>
        </w:rPr>
      </w:r>
      <w:bookmarkStart w:id="201" w:name="OLE_LINK19"/>
      <w:r>
        <w:rPr>
          <w:rFonts w:hint="eastAsia" w:ascii="宋体" w:hAnsi="宋体"/>
          <w:bCs/>
          <w:color w:val="auto"/>
          <w:sz w:val="24"/>
          <w:szCs w:val="24"/>
          <w:highlight w:val="none"/>
        </w:rPr>
        <w:t xml:space="preserve">GB/T 22239</w:t>
      </w:r>
      <w:bookmarkEnd w:id="200"/>
      <w:r>
        <w:rPr>
          <w:color w:val="auto"/>
          <w:highlight w:val="none"/>
        </w:rPr>
      </w:r>
      <w:bookmarkEnd w:id="201"/>
      <w:r>
        <w:rPr>
          <w:rFonts w:hint="eastAsia" w:ascii="宋体" w:hAnsi="宋体"/>
          <w:bCs/>
          <w:color w:val="auto"/>
          <w:sz w:val="24"/>
          <w:szCs w:val="24"/>
          <w:highlight w:val="none"/>
        </w:rPr>
        <w:t xml:space="preserve">-2019)</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（6）《数据中心设计规范》 （</w:t>
      </w:r>
      <w:bookmarkStart w:id="202" w:name="OLE_LINK20"/>
      <w:r>
        <w:rPr>
          <w:color w:val="auto"/>
          <w:highlight w:val="none"/>
        </w:rPr>
      </w:r>
      <w:bookmarkStart w:id="203" w:name="OLE_LINK21"/>
      <w:r>
        <w:rPr>
          <w:rFonts w:hint="eastAsia" w:ascii="宋体" w:hAnsi="宋体"/>
          <w:bCs/>
          <w:color w:val="auto"/>
          <w:sz w:val="24"/>
          <w:szCs w:val="24"/>
          <w:highlight w:val="none"/>
        </w:rPr>
        <w:t xml:space="preserve">GB50174-2017</w:t>
      </w:r>
      <w:bookmarkEnd w:id="202"/>
      <w:r>
        <w:rPr>
          <w:color w:val="auto"/>
          <w:highlight w:val="none"/>
        </w:rPr>
      </w:r>
      <w:bookmarkEnd w:id="203"/>
      <w:r>
        <w:rPr>
          <w:rFonts w:hint="eastAsia" w:ascii="宋体" w:hAnsi="宋体"/>
          <w:bCs/>
          <w:color w:val="auto"/>
          <w:sz w:val="24"/>
          <w:szCs w:val="24"/>
          <w:highlight w:val="none"/>
        </w:rPr>
        <w:t xml:space="preserve">）</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rPr>
        <w:t xml:space="preserve">《软件工程 软件产品质量要求与评价（SQuaRE）》(GB/T 25000.1-2021)</w:t>
      </w:r>
      <w:r>
        <w:rPr>
          <w:rFonts w:hint="eastAsia"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8</w:t>
      </w:r>
      <w:r>
        <w:rPr>
          <w:rFonts w:hint="eastAsia" w:ascii="宋体" w:hAnsi="宋体"/>
          <w:bCs/>
          <w:color w:val="auto"/>
          <w:sz w:val="24"/>
          <w:szCs w:val="24"/>
          <w:highlight w:val="none"/>
        </w:rPr>
        <w:t xml:space="preserve">）《国家机关办公建筑和大型公共建筑能耗监测系统分项能耗数据采集技术导则》</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9</w:t>
      </w:r>
      <w:r>
        <w:rPr>
          <w:rFonts w:hint="eastAsia" w:ascii="宋体" w:hAnsi="宋体"/>
          <w:bCs/>
          <w:color w:val="auto"/>
          <w:sz w:val="24"/>
          <w:szCs w:val="24"/>
          <w:highlight w:val="none"/>
        </w:rPr>
        <w:t xml:space="preserve">）《国家机关办公建筑和大型公共建筑能耗监测系统分项能耗数据传输技术导则》</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以上标准如有更新版本，以现行版本为准。</w:t>
      </w:r>
      <w:r>
        <w:rPr>
          <w:rFonts w:hint="eastAsia" w:ascii="宋体" w:hAnsi="宋体"/>
          <w:bCs/>
          <w:color w:val="auto"/>
          <w:sz w:val="24"/>
          <w:szCs w:val="24"/>
          <w:highlight w:val="none"/>
        </w:rPr>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二、项目建设要求</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1.项目现状</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我国力争2030年前实现碳达峰，2060年前实现碳中和。</w:t>
      </w:r>
      <w:r>
        <w:rPr>
          <w:rFonts w:hint="eastAsia" w:ascii="宋体" w:hAnsi="宋体"/>
          <w:bCs/>
          <w:color w:val="auto"/>
          <w:sz w:val="24"/>
          <w:szCs w:val="24"/>
          <w:highlight w:val="none"/>
        </w:rPr>
        <w:t xml:space="preserve">公共机构作为推进碳达峰、碳中和的重要组成部分，必须为实现“双碳”建设当好表率做好示范。近年来，我市公共机构紧紧围绕这一目标，采取了一系列措施，取得了一定的成效。但是全市统一的节能监管平台尚未建立，各级公共机构各自为战，除少部分县区政府机关建立了能源管理系统外，其他大部分公共机构的能源管理均比较粗放，没有自己的信息化能源管理系统，因此，通过信息化手段加强能源管理工作已刻不容缓。</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2.项目建设规划与设计要求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需面向全市1700余家公共机构，提供能源资源消费的数字化管控接入，应采用分布式、集群架构设计，支持多租户、多用户设计，支持MQTT标准接入和对接协议。各级公共机构利用此平台能够实现对自身能源资源消耗的信息化管理和控制。</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旨在通过技术赋能和数据赋能，提供两级管理角色的统一平台，为在“双碳”目标中，提供有效的抓手，助力更好的开展全市公共机构节能减碳管理工作，实现节能工作的高质量发展。</w:t>
      </w:r>
      <w:r>
        <w:rPr>
          <w:rFonts w:hint="eastAsia" w:ascii="宋体" w:hAnsi="宋体"/>
          <w:bCs/>
          <w:color w:val="auto"/>
          <w:sz w:val="24"/>
          <w:szCs w:val="24"/>
          <w:highlight w:val="none"/>
        </w:rPr>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3.建设目标及内容</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建设目标</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无锡市公共机构节能信息化“一张网”监管平台主要建设目标：</w:t>
      </w:r>
      <w:r>
        <w:rPr>
          <w:rFonts w:hint="eastAsia"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通过平台实现对无锡市（县、区）和市级机关等多级公共机构节能各项指标参数进行远程监控管理、综合分析和科学研判，有效减少能源浪费的同时，进一步夯实“双碳”数据统计监管的基础，加强重点用能单位节能管理，实现分类指导，同时提升对全市节能与“双碳”管理的信息化水平。</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rPr>
        <w:t xml:space="preserve">平台具备整合全市公共机构“能源资源消耗”数据统计分析功能，开放全市各级公共机构数据接入、查询、管理、控制及分析功能，构建公共机构能源资源消耗“一张网”数据中心。</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rPr>
        <w:t xml:space="preserve">解决全市能源资源消费台账数据和数字化管控数据分离问题，实现全市节能数字化管理工作从宏观节能分析、“双碳”管理到精细化的能效运营、碳排放监测等管理的业务闭环。</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rPr>
          <w:rFonts w:hint="eastAsia" w:ascii="宋体" w:hAnsi="宋体"/>
          <w:bCs/>
          <w:color w:val="auto"/>
          <w:sz w:val="24"/>
          <w:szCs w:val="24"/>
          <w:highlight w:val="none"/>
        </w:rPr>
        <w:t xml:space="preserve">重点解决全市各级公共机构在加强能源管理上的信息化平台重复建设的问题。项目建成后，各级公共机构均可通过统一信息平台实现节能管理功能，新建系统平台需由中标单位负责确保与已建成平台公共机构系统平台实现顺利连通对接。</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突出做好市民中心能源监管平台的建设，应用AI技术对市民中心能源资源消耗实现分类、分户、分项管理。包含对市民中心定制软、硬件设备如智能电表、网关、服务器等设备更新。将市民中心外的市级机关集中办公区全部纳入平台实现统一管控，市级各部门单位能够熟练利用此平台加强能源自我管控。</w:t>
      </w:r>
      <w:r>
        <w:rPr>
          <w:rFonts w:hint="eastAsia"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建设内容</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无锡市公共机构节能信息化“一张网”监管平台项目建设内容主要包含1个能耗数据中心、1个能源物联网平台、1个节能评估系统、1个运营管控系统、1个AI智能控制系统和1个碳资产管理系统。具体内容如下：</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1个能耗数据中心：</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基于公共机构能源资源消耗统计台账数据、能源账单数据、节能考评数据、能源计量采集和设备控制的物联数据等，建立统一的数据字典、对接标准和数据服务，形成统一数据中心。</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1个能源物联网平台：</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基于标准开放的MQTT协议，南向提供对各类物联设备的集成接入，完成数据的处理和数据中心对接，北向提供对各类设备和各种数据的服务能力。</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1个节能评估系统：</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要面向各级公共机构的节能主管部门，以本级和下属区域及直属公共机构对象为主体，以《江苏省公共机构节能管理平台》台账数据为依据，提供对区域级双控对标、节能考评等的管理，对直属公共机构的定额对标的管理，可以穿透到“运营管控系统”查看直属公共机构能效运营工作的开展和管理情况。</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1个运营管控系统：</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主要面向全市区域内公共机构的节能主体，提供对账单数据的节能分析和托管分析，用能设备的能耗监测、用能评价和运行管控，创建和对标等精细化的管理功能。</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1个AI智能控制系统：</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要面向公共机构的单体项目场景，通过大数据分析和机器学习，建立末端不同场景的强度和开关控制算法、冷热源的强度和开关控制算法等，构建AI建筑节能自控模型，实现从“管理驱动”到“数据驱动”的精细化能源管控，从而实现建筑用能场景的智能化运营管控。</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1个碳资产管理系统：</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面向各级公共机构的节能主管单位，提供对本级、下属区域及直属公共机构的碳足迹、碳考核等碳资产的宏观管理；面向全市区域内公共机构的节能主体，提供对自身节能减碳、碳计算、碳排放等碳资产的精细化管理。</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4.建设要求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功能要求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无锡市公共机构节能信息化“一张网”监管平台系统主要包含1个能耗数据中心、1个能源物联网平台、1个节能评估系统、1个运营管控系统、1个AI智能控制系统和1个碳资产管理系统。</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功能模块应包括但不限于以下内容：</w:t>
      </w:r>
      <w:r>
        <w:rPr>
          <w:rFonts w:hint="eastAsia" w:ascii="宋体" w:hAnsi="宋体"/>
          <w:bCs/>
          <w:color w:val="auto"/>
          <w:sz w:val="24"/>
          <w:szCs w:val="24"/>
          <w:highlight w:val="none"/>
        </w:rPr>
      </w:r>
      <w:r>
        <w:rPr>
          <w:color w:val="auto"/>
          <w:highlight w:val="none"/>
        </w:rPr>
      </w:r>
    </w:p>
    <w:tbl>
      <w:tblPr>
        <w:tblW w:w="71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0"/>
        <w:gridCol w:w="3900"/>
      </w:tblGrid>
      <w:tr>
        <w:trPr/>
        <w:tc>
          <w:tcPr>
            <w:shd w:val="clear" w:color="000000" w:fill="dce6f1"/>
            <w:tcW w:w="3280" w:type="dxa"/>
            <w:vAlign w:val="center"/>
            <w:textDirection w:val="lrTb"/>
            <w:noWrap/>
          </w:tcPr>
          <w:p>
            <w:pPr>
              <w:pStyle w:val="905"/>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子系统</w:t>
            </w:r>
            <w:r>
              <w:rPr>
                <w:rFonts w:ascii="宋体" w:hAnsi="宋体" w:cs="宋体"/>
                <w:b/>
                <w:bCs/>
                <w:color w:val="auto"/>
                <w:sz w:val="18"/>
                <w:szCs w:val="18"/>
                <w:highlight w:val="none"/>
              </w:rPr>
            </w:r>
            <w:r>
              <w:rPr>
                <w:color w:val="auto"/>
                <w:highlight w:val="none"/>
              </w:rPr>
            </w:r>
          </w:p>
        </w:tc>
        <w:tc>
          <w:tcPr>
            <w:shd w:val="clear" w:color="000000" w:fill="dce6f1"/>
            <w:tcW w:w="3900" w:type="dxa"/>
            <w:vAlign w:val="center"/>
            <w:textDirection w:val="lrTb"/>
            <w:noWrap/>
          </w:tcPr>
          <w:p>
            <w:pPr>
              <w:pStyle w:val="905"/>
              <w:jc w:val="center"/>
              <w:rPr>
                <w:rFonts w:ascii="宋体" w:hAnsi="宋体" w:cs="宋体"/>
                <w:b/>
                <w:bCs/>
                <w:color w:val="auto"/>
                <w:sz w:val="18"/>
                <w:szCs w:val="18"/>
                <w:highlight w:val="none"/>
              </w:rPr>
            </w:pPr>
            <w:r>
              <w:rPr>
                <w:rFonts w:hint="eastAsia" w:ascii="宋体" w:hAnsi="宋体" w:cs="宋体"/>
                <w:b/>
                <w:bCs/>
                <w:color w:val="auto"/>
                <w:sz w:val="18"/>
                <w:szCs w:val="18"/>
                <w:highlight w:val="none"/>
              </w:rPr>
              <w:t xml:space="preserve">功能模块</w:t>
            </w:r>
            <w:r>
              <w:rPr>
                <w:rFonts w:ascii="宋体" w:hAnsi="宋体" w:cs="宋体"/>
                <w:b/>
                <w:bCs/>
                <w:color w:val="auto"/>
                <w:sz w:val="18"/>
                <w:szCs w:val="18"/>
                <w:highlight w:val="none"/>
              </w:rPr>
            </w:r>
            <w:r>
              <w:rPr>
                <w:color w:val="auto"/>
                <w:highlight w:val="none"/>
              </w:rPr>
            </w:r>
          </w:p>
        </w:tc>
      </w:tr>
      <w:tr>
        <w:trPr>
          <w:cantSplit/>
        </w:trPr>
        <w:tc>
          <w:tcPr>
            <w:tcW w:w="3280" w:type="dxa"/>
            <w:vAlign w:val="center"/>
            <w:vMerge w:val="restart"/>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基础管理平台</w:t>
            </w:r>
            <w:r>
              <w:rPr>
                <w:rFonts w:ascii="宋体" w:hAnsi="宋体" w:cs="宋体"/>
                <w:color w:val="auto"/>
                <w:sz w:val="18"/>
                <w:szCs w:val="18"/>
                <w:highlight w:val="none"/>
              </w:rPr>
            </w:r>
            <w:r>
              <w:rPr>
                <w:color w:val="auto"/>
                <w:highlight w:val="none"/>
              </w:rP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登录管理模块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用户管理模块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租户管理模块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系统管理模块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微服务接口管理模块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项目管理模块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角色管理模块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用户审核、授权模块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restart"/>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能源物联网平台</w:t>
            </w:r>
            <w:r>
              <w:rPr>
                <w:rFonts w:ascii="宋体" w:hAnsi="宋体" w:cs="宋体"/>
                <w:color w:val="auto"/>
                <w:sz w:val="18"/>
                <w:szCs w:val="18"/>
                <w:highlight w:val="none"/>
              </w:rPr>
            </w:r>
            <w:r>
              <w:rPr>
                <w:color w:val="auto"/>
                <w:highlight w:val="none"/>
              </w:rP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MQTT中间件服务，50000点位并发</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调试场景模块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设备类型模块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空间模型模块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设备模板模块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项目总览模块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设备管理模块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restart"/>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节能评估系统</w:t>
            </w:r>
            <w:r>
              <w:rPr>
                <w:rFonts w:ascii="宋体" w:hAnsi="宋体" w:cs="宋体"/>
                <w:color w:val="auto"/>
                <w:sz w:val="18"/>
                <w:szCs w:val="18"/>
                <w:highlight w:val="none"/>
              </w:rPr>
            </w:r>
            <w:r>
              <w:rPr>
                <w:color w:val="auto"/>
                <w:highlight w:val="none"/>
              </w:rP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项目总览子看板</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用能评价子看板</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AI智控子看板</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碳排统计子看板</w:t>
            </w:r>
            <w:r>
              <w:rPr>
                <w:rFonts w:ascii="宋体" w:hAnsi="宋体" w:cs="宋体"/>
                <w:color w:val="auto"/>
                <w:sz w:val="18"/>
                <w:szCs w:val="18"/>
                <w:highlight w:val="none"/>
              </w:rPr>
            </w:r>
            <w:r>
              <w:rPr>
                <w:color w:val="auto"/>
                <w:highlight w:val="none"/>
              </w:rPr>
            </w:r>
          </w:p>
        </w:tc>
      </w:tr>
      <w:tr>
        <w:trPr>
          <w:cantSplit/>
        </w:trPr>
        <w:tc>
          <w:tcPr>
            <w:tcW w:w="3280" w:type="dxa"/>
            <w:vAlign w:val="center"/>
            <w:vMerge w:val="restart"/>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运营管控系统</w:t>
            </w:r>
            <w:r>
              <w:rPr>
                <w:rFonts w:ascii="宋体" w:hAnsi="宋体" w:cs="宋体"/>
                <w:color w:val="auto"/>
                <w:sz w:val="18"/>
                <w:szCs w:val="18"/>
                <w:highlight w:val="none"/>
              </w:rPr>
            </w:r>
            <w:r>
              <w:rPr>
                <w:color w:val="auto"/>
                <w:highlight w:val="none"/>
              </w:rP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运营看板模块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用能账单模块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用能监测模块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末端管控模块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strike/>
                <w:color w:val="auto"/>
                <w:sz w:val="18"/>
                <w:szCs w:val="18"/>
                <w:highlight w:val="none"/>
              </w:rPr>
            </w:pPr>
            <w:r>
              <w:rPr>
                <w:rFonts w:hint="eastAsia" w:ascii="宋体" w:hAnsi="宋体" w:cs="宋体"/>
                <w:color w:val="auto"/>
                <w:sz w:val="18"/>
                <w:szCs w:val="18"/>
                <w:highlight w:val="none"/>
              </w:rPr>
              <w:t xml:space="preserve">主机管控模块</w:t>
            </w:r>
            <w:r>
              <w:rPr>
                <w:rFonts w:ascii="宋体" w:hAnsi="宋体" w:cs="宋体"/>
                <w:strike/>
                <w:color w:val="auto"/>
                <w:sz w:val="18"/>
                <w:szCs w:val="18"/>
                <w:highlight w:val="none"/>
              </w:rPr>
            </w:r>
            <w:r>
              <w:rPr>
                <w:color w:val="auto"/>
                <w:highlight w:val="none"/>
              </w:rPr>
            </w:r>
          </w:p>
        </w:tc>
      </w:tr>
      <w:tr>
        <w:trPr>
          <w:cantSplit/>
        </w:trPr>
        <w:tc>
          <w:tcPr>
            <w:tcW w:w="3280" w:type="dxa"/>
            <w:vAlign w:val="center"/>
            <w:vMerge w:val="restart"/>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AI智能控制系统</w:t>
            </w:r>
            <w:r>
              <w:rPr>
                <w:rFonts w:ascii="宋体" w:hAnsi="宋体" w:cs="宋体"/>
                <w:color w:val="auto"/>
                <w:sz w:val="18"/>
                <w:szCs w:val="18"/>
                <w:highlight w:val="none"/>
              </w:rPr>
            </w:r>
            <w:r>
              <w:rPr>
                <w:color w:val="auto"/>
                <w:highlight w:val="none"/>
              </w:rP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末端空调AI模型服务</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末端空调AI可视模块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主机系统AI模型服务</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主机系统AI可视模块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restart"/>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碳资产管理系统</w:t>
            </w:r>
            <w:r>
              <w:rPr>
                <w:rFonts w:ascii="宋体" w:hAnsi="宋体" w:cs="宋体"/>
                <w:color w:val="auto"/>
                <w:sz w:val="18"/>
                <w:szCs w:val="18"/>
                <w:highlight w:val="none"/>
              </w:rPr>
            </w:r>
            <w:r>
              <w:rPr>
                <w:color w:val="auto"/>
                <w:highlight w:val="none"/>
              </w:rP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碳资产看板模块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碳排放源管理模块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碳资产管理模块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碳排放、碳中和管理模块</w:t>
            </w:r>
            <w:r>
              <w:rPr>
                <w:rFonts w:ascii="宋体" w:hAnsi="宋体" w:cs="宋体"/>
                <w:color w:val="auto"/>
                <w:sz w:val="18"/>
                <w:szCs w:val="18"/>
                <w:highlight w:val="none"/>
              </w:rPr>
            </w:r>
            <w:r>
              <w:rPr>
                <w:color w:val="auto"/>
                <w:highlight w:val="none"/>
              </w:rPr>
            </w:r>
          </w:p>
        </w:tc>
      </w:tr>
      <w:tr>
        <w:trPr>
          <w:cantSplit/>
        </w:trPr>
        <w:tc>
          <w:tcPr>
            <w:tcW w:w="3280" w:type="dxa"/>
            <w:vAlign w:val="center"/>
            <w:vMerge w:val="continue"/>
            <w:textDirection w:val="lrTb"/>
            <w:noWrap w:val="false"/>
          </w:tcPr>
          <w:p>
            <w:pPr>
              <w:pStyle w:val="905"/>
              <w:rPr>
                <w:rFonts w:ascii="宋体" w:hAnsi="宋体" w:cs="宋体"/>
                <w:sz w:val="18"/>
                <w:szCs w:val="18"/>
              </w:rPr>
            </w:pPr>
            <w:r>
              <w:rPr>
                <w:rFonts w:ascii="宋体" w:hAnsi="宋体" w:cs="宋体"/>
                <w:sz w:val="18"/>
                <w:szCs w:val="18"/>
              </w:rPr>
            </w:r>
            <w:r/>
          </w:p>
        </w:tc>
        <w:tc>
          <w:tcPr>
            <w:tcW w:w="3900"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碳评价管理模块</w:t>
            </w:r>
            <w:r>
              <w:rPr>
                <w:rFonts w:ascii="宋体" w:hAnsi="宋体" w:cs="宋体"/>
                <w:color w:val="auto"/>
                <w:sz w:val="18"/>
                <w:szCs w:val="18"/>
                <w:highlight w:val="none"/>
              </w:rPr>
            </w:r>
            <w:r>
              <w:rPr>
                <w:color w:val="auto"/>
                <w:highlight w:val="none"/>
              </w:rPr>
            </w:r>
          </w:p>
        </w:tc>
      </w:tr>
    </w:tbl>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具体功能要求如下：</w:t>
      </w:r>
      <w:r>
        <w:rPr>
          <w:rFonts w:hint="eastAsia"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（1）基础管理平台</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w:t>
        <w:tab/>
        <w:t xml:space="preserve">登录管理模块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1、对用户进行注册、登录验证管理，支持验证码和强密码认证。</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w:t>
        <w:tab/>
        <w:t xml:space="preserve">用户管理模块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1、查询平台所有注册用户的信息，包括用户名、用户类别、账号状态、所属租户等，可以通过关键字进行匹配定位。</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2、可以对账号进行禁用、恢复操作。</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w:t>
        <w:tab/>
        <w:t xml:space="preserve">租户管理模块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1、创建/修改/删除租户。</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2、查看所有租户信息。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3、对租户进行系统授权。</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④</w:t>
        <w:tab/>
        <w:t xml:space="preserve">系统管理模块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1、创建/修改/删除系统。</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2、查看所有系统信息。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3、对系统进行授权/解绑租户。</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⑤</w:t>
        <w:tab/>
        <w:t xml:space="preserve">项目管理模块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1、创建/修改/删除项目。</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2、授权项目给用户、部门。</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3、查看项目授权的用户、部门。</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⑥</w:t>
        <w:tab/>
        <w:t xml:space="preserve">角色管理模块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1、创建/修改/删除角色。</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2、配置角色关联系统以及功能权限。</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3、查看角色关联系统以及功能权限。</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4、配置角色关联人员。</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5、查看角色关联人员。</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⑦</w:t>
        <w:tab/>
        <w:t xml:space="preserve">用户审核</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1、查看用户审核的记录。</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2、审核用户通过/不通过。</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⑧</w:t>
        <w:tab/>
        <w:t xml:space="preserve">用户授权</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1、查看用户所授权角色信息。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2、查看用户所授权项目信息。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3、授权用户角色信息。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4、授权用户项目信息。</w:t>
      </w:r>
      <w:r>
        <w:rPr>
          <w:rFonts w:hint="eastAsia"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（2）能源物联网平台</w:t>
      </w:r>
      <w:r>
        <w:rPr>
          <w:rFonts w:hint="eastAsia" w:ascii="宋体" w:hAnsi="宋体"/>
          <w:bCs/>
          <w:color w:val="auto"/>
          <w:sz w:val="24"/>
          <w:szCs w:val="24"/>
          <w:highlight w:val="none"/>
        </w:rPr>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w:t>
        <w:tab/>
        <w:t xml:space="preserve">MQTT中间件服务：</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间件服务具备大规模分布式物联网接入，同时作为一个高性能、可扩展的MQTT消息服务器，通过强大的内置规则引擎和数据集成功能，可以对海量IoT数据进行实时数据处理、数据转换和路由。需要具备以下核心指标：</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1、支持海量设备及应用端连接；</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2、具备高可靠性，可以弹性伸缩；</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3、支持端到端数据加密，细粒度访问控制，保障数据安全</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4、符合MQTT5.0和3.x标准，具有更好的可扩展性、安全性和可靠性；</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5、单节点支持每秒实时接收、处理与分发百万条的MQTT消息，毫秒级消息交付时延；</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6、支持应用与设备间的双向通信，也支持设备与设备间的双向通信。</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w:t>
        <w:tab/>
        <w:t xml:space="preserve">调试场景模块：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1、可创建计量、空调末端、BA场景等不同场景分类的调试场景；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2、查看所有调试场景的场景编码、场景分类、场景属性信息；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3、可编辑已创建的调试场景；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4、可删除已创建的调试场景；</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w:t>
        <w:tab/>
        <w:t xml:space="preserve">设备类型模块：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1、创建表具、设备、网关等设备类型；</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2、查看所有设备类型的类型编码、分组类型、能源类型等信息；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3、可编辑已创建的设备类型；</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4、删除已创建的设备类型。</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④</w:t>
        <w:tab/>
        <w:t xml:space="preserve">空间模型模块：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1、可以增删改查空间模型结构信息。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2、空间节点可以绑定设备信息。</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⑤</w:t>
        <w:tab/>
        <w:t xml:space="preserve">设备模板模块：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1、创建设备/网关设备模板；</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2、查看所有设备模板编码、类型、所属调试场景、设备类型以及模板测点详情；</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3、编辑已创建的设备模板；</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4、删除已创建的设备模板。</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⑥</w:t>
        <w:tab/>
        <w:t xml:space="preserve">项目总览模块：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1、项目总数、接入设备总数、直连设备总数等项目总体指标。</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2、项目列表展示各个项目总体指标信息，包括接入设备数、运维在线率、直连设备数、子设备数等。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3、可以按照在线率、项目名称进行筛选匹配。</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4、点击单个项目，进入单个项目视角，可以查看单个项目概览、设备模板、设备管理、空间模型等。</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⑦</w:t>
        <w:tab/>
        <w:t xml:space="preserve">设备管理模块：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1、按空间结构模型查看关联的设备信息，包括设备名称、设备模板、上级设备、空间标签、通讯编码、SN码、设备类型、通讯时间、在线状态、变量操作等。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2、可以对设备信息进行编辑修改操作。</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3、可以查看具体设备的变量信息，包括变量名称、变量标签、数据类型、存储周期、变量值、单位、实测时间、操作等。 </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4、可以对具体设备具体的变量信息进行即抄和写入操作。 </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5、可以对具体设备具体的变量进行采集数据的查看操作。</w:t>
      </w:r>
      <w:r>
        <w:rPr>
          <w:rFonts w:hint="eastAsia"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（3）节能评估系统</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w:t>
        <w:tab/>
        <w:t xml:space="preserve">项目总览子看板：</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以区域全景可视化地图为视图导航，提供全域公共机构基本信息、定额指标信息、双控指标信息、能耗用量信息等总览指标，同时地图标注各版块各分类机构的总体数量、接入情况，可以查看具体接入项目主体信息，可以进入项目主体进行运营管控管理操作。</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w:t>
        <w:tab/>
        <w:t xml:space="preserve">用能评价子看板：</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依据《公共机构日常节能管理规程》，建立公共机构节约能源资源工作评价体系，可以对区域内所有公共机构的用能指标、日常用能行为等进行实时在线评价，对公共机构节约能源资源工作管理提供科学的评判依据。</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w:t>
        <w:tab/>
        <w:t xml:space="preserve">AI智控子看板：</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查看已经纳入AI智控的项目总数和列表信息，每个项目显示末端空调AI和主机系统AI开启状态，可以点击进入末端空调AI或主机系统AI系统界面。</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④</w:t>
        <w:tab/>
        <w:t xml:space="preserve">碳排统计子看板：</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所有接入的一张网的公共机构碳资产、碳排放情况进行汇总统计，包括碳排放额度、累计碳排放、剩余碳额度、节约碳额度、可交易碳额度、需购买碳额度等关键指标信息。点击单个机构可以进入碳资产管理系统。</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（4）运营管控系统</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w:t>
        <w:tab/>
        <w:t xml:space="preserve">运营看板</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基本信息：建筑面积、用能人数等</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碳排放总量：今年、去年碳排放总量，今年截止到上月与去年碳排放同比</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碳排放强度：今年、去年单位碳排放量，今年截止到上月与去年单位碳排放量同比</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能耗总量：以能源为单位，查看分类能源逐年的用量对比</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能耗强度：按面均和人均维度，查看综合能源逐年的单位用量对比</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用能结构：今年、去年传统能源与绿色能源分类占比，累计碳排放量等</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能耗对标：逐年的单位能耗与约束值、引导值和基准值对标</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w:t>
        <w:tab/>
        <w:t xml:space="preserve">用能账单：</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1、托管信息管理：配置托管周期、录入每个托管年费用指标、节能指标；针对不同的托管年度，可按需开启或关闭指定的能源；对每个已开启托管的能源，可配置其对应的托管节能目标、基准账单等信息。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2、能耗账单管理：支持月度能耗账单的查询、录入、编辑、锁定、下载功能；</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3、托管节能情况对标：可查看任意托管年度的总体节能对标达标情况，以及每个月的节能详情。</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w:t>
        <w:tab/>
        <w:t xml:space="preserve">用能监测：</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1、支持创建/编辑/删除场景节点、添加子设备、绑定计量表具；</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2、可按场景监测每日能耗、运行时长、开机台数、运行参数等；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3、支持本年度/上年度相同气温条件的能耗进行对比分析；</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4、支持对用能/运行异常情况添加标签；</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5、以日历形式展示每日能耗详情，可查看任意日期的72小时能耗详情；</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6、月度分析：任意月份的月度能耗，同比环比详情。</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④</w:t>
        <w:tab/>
        <w:t xml:space="preserve">末端管控：</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1、实时控制</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可以按空间模型查看当前空间分组下空调运行概况，包括设备总数、在线数量、开机数等。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可以按管理分组查看当前管理分组空调运行概况，包括设备总数、在线数量、开机数等。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可以按空间模型查看当前空间分组下空调信息，包括当前所有空调运行状态，支持筛选功能，可以参数组合条件等进行筛选定位。支持批量控制功能，可以勾选单个或多个空调进行开关、调温等批量控制。</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可以查看指定设备的基本信息、参数信息、控制记录、运行情况。</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可以选择起止时间，对人工操作的控制记录进行统计查询，对控制失败的设备重新控制。</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2、策略管理</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可以按不同场景建立控制策略，策略时间支持按年、月、周、日，下发命令支持开关、温度、模式等参数，下发时间间隔可以灵活设定。</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可以查看策略列表信息，包括策略名称、策略内容、关联分组、关联数量、启动关停等操作功能。</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可以选择起止时间，对策略执行的记录进行查询，可以针对失败的设备进行重新控制操作。</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3、控制日志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支持按控制日期，对策略控制、人为控制、AI控制等不同类型的控制记录进行查询。</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⑤</w:t>
        <w:tab/>
        <w:t xml:space="preserve">主机管控：</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1、实时控制</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支持组态图方式查询整个系统当前所有运行工况状态。</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在组态图针对支持远程操作的单设备点位，按需进行远程控制操作。</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2、策略管理</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支持配置开关控制策略，策略支持下发到现场控制柜。</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支持配置出水温度、频率等控制策略，策略时间支持按年、月、周、日，下发时间间隔可以灵活设定。</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可以选择起止时间，对策略执行的记录进行查询，可以针对失败的设备进行重新控制操作。</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3、控制日志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支持按控制日期，对策略控制、人为控制、AI控制等不同类型的控制记录进行查询。</w:t>
      </w:r>
      <w:r>
        <w:rPr>
          <w:rFonts w:hint="eastAsia"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（5）AI智能控制系统</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w:t>
        <w:tab/>
        <w:t xml:space="preserve">末端空调AI：</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按项目为单位，面向末端空调场景，通过大数据分析和机器学习，建立不同场景、季节、环境、时间下的强度和开关控制算法，构建空调+AI自控模型，实现对空调运行的精细化、智能化管控。</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w:t>
        <w:tab/>
        <w:t xml:space="preserve">主机系统AI：</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按项目为单位，面向主机系统场景，通过大数据分析和机器学习，建立不同季节、环境、时间下的主机系统强度和开关控制算法等，构建主机+AI自控模型，实现对主机运行的精细化、智能化管控。</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（6）碳资产管理系统</w:t>
      </w:r>
      <w:r>
        <w:rPr>
          <w:rFonts w:hint="eastAsia" w:ascii="宋体" w:hAnsi="宋体"/>
          <w:bCs/>
          <w:color w:val="auto"/>
          <w:sz w:val="24"/>
          <w:szCs w:val="24"/>
          <w:highlight w:val="none"/>
        </w:rPr>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w:t>
        <w:tab/>
        <w:t xml:space="preserve">碳资产看板模块</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主要包括以下指标信息：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1、碳排放指标：总碳排放、直接碳排放、间接碳排放等指标；</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2、碳资产指标：总碳资产、发放碳配额、交易碳配额、持有CCER、交易CCER等；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3、碳交易指标：碳配额买入、卖出量，CCER买入、卖出量，绿证买入量等指标；</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4、碳履约指标：包括碳排指标（累计碳排放、绿电抵扣量、实际碳排放），碳权指标（实际碳配额、CCER抵扣量、实际碳权量），清缴指标（结余量、补购量）；</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5、碳中和指标：碳排放量、碳汇量、碳中和率等指标；</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w:t>
        <w:tab/>
        <w:t xml:space="preserve">碳排放模块</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对直接、间接碳排放源各类能源的年度活动数据、碳排放因子、碳排放量、同比变化进行查看，可查看每个月的活动数据、碳排放量和同比变化图表。</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w:t>
        <w:tab/>
        <w:t xml:space="preserve">碳资产模块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1、碳配额下发</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按年度为单位，对发放碳配额、持有CCER进行配置下发</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2、碳资产查看</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按年度为单位，显示碳资产指标信息，包括发放碳配额、持有CCER、初始碳配额，交易碳配额、交易CCER，实际碳资产等</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④</w:t>
        <w:tab/>
        <w:t xml:space="preserve">碳交易模块</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1、配额交易</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可以添加配置配额交易记录，包括年份、交易编号、交易类型、交易配额、交易平台、交易总价等信息。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2、CCER交易</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可以添加配置CCER交易记录，包括年份、交易编号、交易类型、CCER类型、交易量、交易平台、交易总价等信息。</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3、绿证交易</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可以添加配置购买绿证记录，包括年份、交易编号、绿证数量、等价绿电、交易平台、交易总价、项目名称、项目代码、项目类型等信息。</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⑤</w:t>
        <w:tab/>
        <w:t xml:space="preserve">碳履约模块</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查看各年度碳履约指标信息，具体包括：</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1、碳排放指标：包括累计碳排放、绿证等价绿电、绿证抵扣比例、绿电抵扣量、实际碳排放等；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2、碳权量指标：包括实际碳配额、实际CCER、CCER抵扣比例、CCER抵扣量、实际碳权量等；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3、清缴指标：包括结余量、补购量等；</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⑥</w:t>
        <w:tab/>
        <w:t xml:space="preserve">碳中和模块</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查看各年度碳中和指标信息，具体包括：</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1、碳排放量：包括累计碳排放量、间接碳排放量、直接碳排放量等；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2、碳汇量：包括总计碳汇量、自身碳汇量、购买碳汇量等；</w:t>
      </w:r>
      <w:r>
        <w:rPr>
          <w:color w:val="auto"/>
          <w:highlight w:val="none"/>
        </w:rPr>
      </w:r>
    </w:p>
    <w:p>
      <w:pPr>
        <w:pStyle w:val="905"/>
        <w:ind w:firstLine="144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3、碳中和：碳中和率指标；</w:t>
      </w:r>
      <w:r>
        <w:rPr>
          <w:color w:val="auto"/>
          <w:highlight w:val="none"/>
        </w:rPr>
      </w:r>
    </w:p>
    <w:p>
      <w:pPr>
        <w:pStyle w:val="905"/>
        <w:ind w:firstLine="480"/>
        <w:spacing w:line="360" w:lineRule="auto"/>
        <w:rPr>
          <w:color w:val="auto"/>
          <w:highlight w:val="none"/>
        </w:rPr>
      </w:pPr>
      <w:r>
        <w:rPr>
          <w:rFonts w:hint="eastAsia" w:ascii="宋体" w:hAnsi="宋体"/>
          <w:bCs/>
          <w:color w:val="auto"/>
          <w:sz w:val="24"/>
          <w:szCs w:val="24"/>
          <w:highlight w:val="none"/>
        </w:rPr>
        <w:t xml:space="preserve">4.2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信息/数据量要求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无锡市公共机构节能信息化“一张网”监管平台数据信息量主要包括：数据采集量、存储量、传输量。</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数据采集量：数据采集周期可根据具体需要灵活设置，数据采集周期在10分钟/次到1小时/次之间（一般情况下采取每15分钟采集一次）。</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存储量：根据现有监测点位及后期不断增加完善的点位，预计数据存储量将达到1T/年。</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传输量：根据监测点位、采集颗粒度的不同，预计每个监测点位的数据传输量为20Kb/次。</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系统性能要求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无锡市公共机构节能信息化“一张网”监管平台面向全市1700余家公共机构，负责各类能源和设备数据接入场景，应充分考虑各单位分系统数据上传的负载性能和数据存储、安全，主要性能指标如下：</w:t>
      </w:r>
      <w:r>
        <w:rPr>
          <w:rFonts w:hint="eastAsia" w:ascii="宋体" w:hAnsi="宋体"/>
          <w:bCs/>
          <w:color w:val="auto"/>
          <w:sz w:val="24"/>
          <w:szCs w:val="24"/>
          <w:highlight w:val="none"/>
        </w:rPr>
      </w:r>
      <w:r>
        <w:rPr>
          <w:color w:val="auto"/>
          <w:highlight w:val="none"/>
        </w:rPr>
      </w:r>
    </w:p>
    <w:tbl>
      <w:tblPr>
        <w:tblW w:w="837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2552"/>
        <w:gridCol w:w="4947"/>
      </w:tblGrid>
      <w:tr>
        <w:trPr/>
        <w:tc>
          <w:tcPr>
            <w:tcW w:w="876"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序号</w:t>
            </w:r>
            <w:r>
              <w:rPr>
                <w:rFonts w:ascii="宋体" w:hAnsi="宋体" w:cs="宋体"/>
                <w:color w:val="auto"/>
                <w:sz w:val="18"/>
                <w:szCs w:val="18"/>
                <w:highlight w:val="none"/>
              </w:rPr>
            </w:r>
            <w:r>
              <w:rPr>
                <w:color w:val="auto"/>
                <w:highlight w:val="none"/>
              </w:rPr>
            </w:r>
          </w:p>
        </w:tc>
        <w:tc>
          <w:tcPr>
            <w:tcW w:w="2552" w:type="dxa"/>
            <w:vAlign w:val="center"/>
            <w:textDirection w:val="lrTb"/>
            <w:noWrap/>
          </w:tcPr>
          <w:p>
            <w:pPr>
              <w:pStyle w:val="905"/>
              <w:ind w:firstLine="480"/>
              <w:rPr>
                <w:rFonts w:ascii="宋体" w:hAnsi="宋体" w:cs="宋体"/>
                <w:color w:val="auto"/>
                <w:sz w:val="18"/>
                <w:szCs w:val="18"/>
                <w:highlight w:val="none"/>
              </w:rPr>
            </w:pPr>
            <w:r>
              <w:rPr>
                <w:rFonts w:hint="eastAsia" w:ascii="宋体" w:hAnsi="宋体" w:cs="宋体"/>
                <w:color w:val="auto"/>
                <w:sz w:val="18"/>
                <w:szCs w:val="18"/>
                <w:highlight w:val="none"/>
              </w:rPr>
              <w:t xml:space="preserve">指标</w:t>
            </w:r>
            <w:r>
              <w:rPr>
                <w:rFonts w:ascii="宋体" w:hAnsi="宋体" w:cs="宋体"/>
                <w:color w:val="auto"/>
                <w:sz w:val="18"/>
                <w:szCs w:val="18"/>
                <w:highlight w:val="none"/>
              </w:rPr>
              <w:t xml:space="preserve">项</w:t>
            </w:r>
            <w:r>
              <w:rPr>
                <w:color w:val="auto"/>
                <w:highlight w:val="none"/>
              </w:rPr>
            </w:r>
          </w:p>
        </w:tc>
        <w:tc>
          <w:tcPr>
            <w:tcW w:w="4947" w:type="dxa"/>
            <w:vAlign w:val="center"/>
            <w:textDirection w:val="lrTb"/>
            <w:noWrap/>
          </w:tcPr>
          <w:p>
            <w:pPr>
              <w:pStyle w:val="905"/>
              <w:ind w:firstLine="480"/>
              <w:rPr>
                <w:rFonts w:ascii="宋体" w:hAnsi="宋体" w:cs="宋体"/>
                <w:color w:val="auto"/>
                <w:sz w:val="18"/>
                <w:szCs w:val="18"/>
                <w:highlight w:val="none"/>
              </w:rPr>
            </w:pPr>
            <w:r>
              <w:rPr>
                <w:rFonts w:hint="eastAsia" w:ascii="宋体" w:hAnsi="宋体" w:cs="宋体"/>
                <w:color w:val="auto"/>
                <w:sz w:val="18"/>
                <w:szCs w:val="18"/>
                <w:highlight w:val="none"/>
              </w:rPr>
              <w:t xml:space="preserve">指标要求</w:t>
            </w:r>
            <w:r>
              <w:rPr>
                <w:rFonts w:ascii="宋体" w:hAnsi="宋体" w:cs="宋体"/>
                <w:color w:val="auto"/>
                <w:sz w:val="18"/>
                <w:szCs w:val="18"/>
                <w:highlight w:val="none"/>
              </w:rPr>
            </w:r>
            <w:r>
              <w:rPr>
                <w:color w:val="auto"/>
                <w:highlight w:val="none"/>
              </w:rPr>
            </w:r>
          </w:p>
        </w:tc>
      </w:tr>
      <w:tr>
        <w:trPr/>
        <w:tc>
          <w:tcPr>
            <w:tcW w:w="876" w:type="dxa"/>
            <w:vAlign w:val="center"/>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1</w:t>
            </w:r>
            <w:r>
              <w:rPr>
                <w:rFonts w:ascii="宋体" w:hAnsi="宋体" w:cs="宋体"/>
                <w:color w:val="auto"/>
                <w:sz w:val="18"/>
                <w:szCs w:val="18"/>
                <w:highlight w:val="none"/>
              </w:rPr>
            </w:r>
            <w:r>
              <w:rPr>
                <w:color w:val="auto"/>
                <w:highlight w:val="none"/>
              </w:rPr>
            </w:r>
          </w:p>
        </w:tc>
        <w:tc>
          <w:tcPr>
            <w:tcW w:w="2552" w:type="dxa"/>
            <w:vAlign w:val="center"/>
            <w:textDirection w:val="lrTb"/>
            <w:noWrap/>
          </w:tcPr>
          <w:p>
            <w:pPr>
              <w:pStyle w:val="905"/>
              <w:ind w:firstLine="480"/>
              <w:rPr>
                <w:rFonts w:ascii="宋体" w:hAnsi="宋体" w:cs="宋体"/>
                <w:color w:val="auto"/>
                <w:sz w:val="18"/>
                <w:szCs w:val="18"/>
                <w:highlight w:val="none"/>
              </w:rPr>
            </w:pPr>
            <w:r>
              <w:rPr>
                <w:rFonts w:hint="eastAsia" w:ascii="宋体" w:hAnsi="宋体" w:cs="宋体"/>
                <w:color w:val="auto"/>
                <w:sz w:val="18"/>
                <w:szCs w:val="18"/>
                <w:highlight w:val="none"/>
              </w:rPr>
              <w:t xml:space="preserve">数据上传</w:t>
            </w:r>
            <w:r>
              <w:rPr>
                <w:rFonts w:ascii="宋体" w:hAnsi="宋体" w:cs="宋体"/>
                <w:color w:val="auto"/>
                <w:sz w:val="18"/>
                <w:szCs w:val="18"/>
                <w:highlight w:val="none"/>
              </w:rPr>
            </w:r>
            <w:r>
              <w:rPr>
                <w:color w:val="auto"/>
                <w:highlight w:val="none"/>
              </w:rPr>
            </w:r>
          </w:p>
        </w:tc>
        <w:tc>
          <w:tcPr>
            <w:tcW w:w="4947" w:type="dxa"/>
            <w:vAlign w:val="center"/>
            <w:textDirection w:val="lrTb"/>
            <w:noWrap w:val="false"/>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支持不少于</w:t>
            </w:r>
            <w:r>
              <w:rPr>
                <w:rFonts w:ascii="宋体" w:hAnsi="宋体" w:cs="宋体"/>
                <w:color w:val="auto"/>
                <w:sz w:val="18"/>
                <w:szCs w:val="18"/>
                <w:highlight w:val="none"/>
              </w:rPr>
              <w:t xml:space="preserve">5</w:t>
            </w:r>
            <w:r>
              <w:rPr>
                <w:rFonts w:hint="eastAsia" w:ascii="宋体" w:hAnsi="宋体" w:cs="宋体"/>
                <w:color w:val="auto"/>
                <w:sz w:val="18"/>
                <w:szCs w:val="18"/>
                <w:highlight w:val="none"/>
              </w:rPr>
              <w:t xml:space="preserve">00</w:t>
            </w:r>
            <w:r>
              <w:rPr>
                <w:rFonts w:ascii="宋体" w:hAnsi="宋体" w:cs="宋体"/>
                <w:color w:val="auto"/>
                <w:sz w:val="18"/>
                <w:szCs w:val="18"/>
                <w:highlight w:val="none"/>
              </w:rPr>
              <w:t xml:space="preserve">0</w:t>
            </w:r>
            <w:r>
              <w:rPr>
                <w:rFonts w:hint="eastAsia" w:ascii="宋体" w:hAnsi="宋体" w:cs="宋体"/>
                <w:color w:val="auto"/>
                <w:sz w:val="18"/>
                <w:szCs w:val="18"/>
                <w:highlight w:val="none"/>
              </w:rPr>
              <w:t xml:space="preserve">0个终端实时</w:t>
            </w:r>
            <w:r>
              <w:rPr>
                <w:rFonts w:ascii="宋体" w:hAnsi="宋体" w:cs="宋体"/>
                <w:color w:val="auto"/>
                <w:sz w:val="18"/>
                <w:szCs w:val="18"/>
                <w:highlight w:val="none"/>
              </w:rPr>
              <w:t xml:space="preserve">上传数据的并发和负载能力</w:t>
            </w:r>
            <w:r>
              <w:rPr>
                <w:color w:val="auto"/>
                <w:highlight w:val="none"/>
              </w:rPr>
            </w:r>
          </w:p>
        </w:tc>
      </w:tr>
      <w:tr>
        <w:trPr/>
        <w:tc>
          <w:tcPr>
            <w:tcW w:w="876" w:type="dxa"/>
            <w:vAlign w:val="center"/>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2</w:t>
            </w:r>
            <w:r>
              <w:rPr>
                <w:rFonts w:ascii="宋体" w:hAnsi="宋体" w:cs="宋体"/>
                <w:color w:val="auto"/>
                <w:sz w:val="18"/>
                <w:szCs w:val="18"/>
                <w:highlight w:val="none"/>
              </w:rPr>
            </w:r>
            <w:r>
              <w:rPr>
                <w:color w:val="auto"/>
                <w:highlight w:val="none"/>
              </w:rPr>
            </w:r>
          </w:p>
        </w:tc>
        <w:tc>
          <w:tcPr>
            <w:tcW w:w="2552" w:type="dxa"/>
            <w:vAlign w:val="center"/>
            <w:textDirection w:val="lrTb"/>
            <w:noWrap/>
          </w:tcPr>
          <w:p>
            <w:pPr>
              <w:pStyle w:val="905"/>
              <w:ind w:firstLine="480"/>
              <w:rPr>
                <w:rFonts w:ascii="宋体" w:hAnsi="宋体" w:cs="宋体"/>
                <w:color w:val="auto"/>
                <w:sz w:val="18"/>
                <w:szCs w:val="18"/>
                <w:highlight w:val="none"/>
              </w:rPr>
            </w:pPr>
            <w:r>
              <w:rPr>
                <w:rFonts w:hint="eastAsia" w:ascii="宋体" w:hAnsi="宋体" w:cs="宋体"/>
                <w:color w:val="auto"/>
                <w:sz w:val="18"/>
                <w:szCs w:val="18"/>
                <w:highlight w:val="none"/>
              </w:rPr>
              <w:t xml:space="preserve">并发用户</w:t>
            </w:r>
            <w:r>
              <w:rPr>
                <w:rFonts w:ascii="宋体" w:hAnsi="宋体" w:cs="宋体"/>
                <w:color w:val="auto"/>
                <w:sz w:val="18"/>
                <w:szCs w:val="18"/>
                <w:highlight w:val="none"/>
              </w:rPr>
            </w:r>
            <w:r>
              <w:rPr>
                <w:color w:val="auto"/>
                <w:highlight w:val="none"/>
              </w:rPr>
            </w:r>
          </w:p>
        </w:tc>
        <w:tc>
          <w:tcPr>
            <w:tcW w:w="4947" w:type="dxa"/>
            <w:vAlign w:val="center"/>
            <w:textDirection w:val="lrTb"/>
            <w:noWrap w:val="false"/>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应用系统并发访问用户数不小于50</w:t>
            </w:r>
            <w:r>
              <w:rPr>
                <w:rFonts w:ascii="宋体" w:hAnsi="宋体" w:cs="宋体"/>
                <w:color w:val="auto"/>
                <w:sz w:val="18"/>
                <w:szCs w:val="18"/>
                <w:highlight w:val="none"/>
              </w:rPr>
            </w:r>
            <w:r>
              <w:rPr>
                <w:color w:val="auto"/>
                <w:highlight w:val="none"/>
              </w:rPr>
            </w:r>
          </w:p>
        </w:tc>
      </w:tr>
      <w:tr>
        <w:trPr/>
        <w:tc>
          <w:tcPr>
            <w:tcW w:w="876" w:type="dxa"/>
            <w:vAlign w:val="center"/>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3</w:t>
            </w:r>
            <w:r>
              <w:rPr>
                <w:rFonts w:ascii="宋体" w:hAnsi="宋体" w:cs="宋体"/>
                <w:color w:val="auto"/>
                <w:sz w:val="18"/>
                <w:szCs w:val="18"/>
                <w:highlight w:val="none"/>
              </w:rPr>
            </w:r>
            <w:r>
              <w:rPr>
                <w:color w:val="auto"/>
                <w:highlight w:val="none"/>
              </w:rPr>
            </w:r>
          </w:p>
        </w:tc>
        <w:tc>
          <w:tcPr>
            <w:tcW w:w="2552" w:type="dxa"/>
            <w:vAlign w:val="center"/>
            <w:textDirection w:val="lrTb"/>
            <w:noWrap/>
          </w:tcPr>
          <w:p>
            <w:pPr>
              <w:pStyle w:val="905"/>
              <w:ind w:firstLine="480"/>
              <w:rPr>
                <w:rFonts w:ascii="宋体" w:hAnsi="宋体" w:cs="宋体"/>
                <w:color w:val="auto"/>
                <w:sz w:val="18"/>
                <w:szCs w:val="18"/>
                <w:highlight w:val="none"/>
              </w:rPr>
            </w:pPr>
            <w:r>
              <w:rPr>
                <w:rFonts w:hint="eastAsia" w:ascii="宋体" w:hAnsi="宋体" w:cs="宋体"/>
                <w:color w:val="auto"/>
                <w:sz w:val="18"/>
                <w:szCs w:val="18"/>
                <w:highlight w:val="none"/>
              </w:rPr>
              <w:t xml:space="preserve">页面响应</w:t>
            </w:r>
            <w:r>
              <w:rPr>
                <w:rFonts w:ascii="宋体" w:hAnsi="宋体" w:cs="宋体"/>
                <w:color w:val="auto"/>
                <w:sz w:val="18"/>
                <w:szCs w:val="18"/>
                <w:highlight w:val="none"/>
              </w:rPr>
            </w:r>
            <w:r>
              <w:rPr>
                <w:color w:val="auto"/>
                <w:highlight w:val="none"/>
              </w:rPr>
            </w:r>
          </w:p>
        </w:tc>
        <w:tc>
          <w:tcPr>
            <w:tcW w:w="4947"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复杂查询平均响应时间&lt;5S；特殊操作可适当延长</w:t>
            </w:r>
            <w:r>
              <w:rPr>
                <w:rFonts w:ascii="宋体" w:hAnsi="宋体" w:cs="宋体"/>
                <w:color w:val="auto"/>
                <w:sz w:val="18"/>
                <w:szCs w:val="18"/>
                <w:highlight w:val="none"/>
              </w:rPr>
            </w:r>
            <w:r>
              <w:rPr>
                <w:color w:val="auto"/>
                <w:highlight w:val="none"/>
              </w:rPr>
            </w:r>
          </w:p>
        </w:tc>
      </w:tr>
      <w:tr>
        <w:trPr/>
        <w:tc>
          <w:tcPr>
            <w:tcW w:w="876" w:type="dxa"/>
            <w:vAlign w:val="center"/>
            <w:textDirection w:val="lrTb"/>
            <w:noWrap/>
          </w:tcPr>
          <w:p>
            <w:pPr>
              <w:pStyle w:val="905"/>
              <w:jc w:val="center"/>
              <w:rPr>
                <w:rFonts w:ascii="宋体" w:hAnsi="宋体" w:cs="宋体"/>
                <w:color w:val="auto"/>
                <w:sz w:val="18"/>
                <w:szCs w:val="18"/>
                <w:highlight w:val="none"/>
              </w:rPr>
            </w:pPr>
            <w:r>
              <w:rPr>
                <w:rFonts w:hint="eastAsia" w:ascii="宋体" w:hAnsi="宋体" w:cs="宋体"/>
                <w:color w:val="auto"/>
                <w:sz w:val="18"/>
                <w:szCs w:val="18"/>
                <w:highlight w:val="none"/>
              </w:rPr>
              <w:t xml:space="preserve">4</w:t>
            </w:r>
            <w:r>
              <w:rPr>
                <w:rFonts w:ascii="宋体" w:hAnsi="宋体" w:cs="宋体"/>
                <w:color w:val="auto"/>
                <w:sz w:val="18"/>
                <w:szCs w:val="18"/>
                <w:highlight w:val="none"/>
              </w:rPr>
            </w:r>
            <w:r>
              <w:rPr>
                <w:color w:val="auto"/>
                <w:highlight w:val="none"/>
              </w:rPr>
            </w:r>
          </w:p>
        </w:tc>
        <w:tc>
          <w:tcPr>
            <w:tcW w:w="2552" w:type="dxa"/>
            <w:vAlign w:val="center"/>
            <w:textDirection w:val="lrTb"/>
            <w:noWrap/>
          </w:tcPr>
          <w:p>
            <w:pPr>
              <w:pStyle w:val="905"/>
              <w:ind w:firstLine="480"/>
              <w:rPr>
                <w:rFonts w:ascii="宋体" w:hAnsi="宋体" w:cs="宋体"/>
                <w:color w:val="auto"/>
                <w:sz w:val="18"/>
                <w:szCs w:val="18"/>
                <w:highlight w:val="none"/>
              </w:rPr>
            </w:pPr>
            <w:r>
              <w:rPr>
                <w:rFonts w:hint="eastAsia" w:ascii="宋体" w:hAnsi="宋体" w:cs="宋体"/>
                <w:color w:val="auto"/>
                <w:sz w:val="18"/>
                <w:szCs w:val="18"/>
                <w:highlight w:val="none"/>
              </w:rPr>
              <w:t xml:space="preserve">数据存储</w:t>
            </w:r>
            <w:r>
              <w:rPr>
                <w:rFonts w:ascii="宋体" w:hAnsi="宋体" w:cs="宋体"/>
                <w:color w:val="auto"/>
                <w:sz w:val="18"/>
                <w:szCs w:val="18"/>
                <w:highlight w:val="none"/>
              </w:rPr>
            </w:r>
            <w:r>
              <w:rPr>
                <w:color w:val="auto"/>
                <w:highlight w:val="none"/>
              </w:rPr>
            </w:r>
          </w:p>
        </w:tc>
        <w:tc>
          <w:tcPr>
            <w:tcW w:w="4947"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满足未来3年</w:t>
            </w:r>
            <w:r>
              <w:rPr>
                <w:rFonts w:ascii="宋体" w:hAnsi="宋体" w:cs="宋体"/>
                <w:color w:val="auto"/>
                <w:sz w:val="18"/>
                <w:szCs w:val="18"/>
                <w:highlight w:val="none"/>
              </w:rPr>
              <w:t xml:space="preserve">内</w:t>
            </w:r>
            <w:r>
              <w:rPr>
                <w:rFonts w:hint="eastAsia" w:ascii="宋体" w:hAnsi="宋体" w:cs="宋体"/>
                <w:color w:val="auto"/>
                <w:sz w:val="18"/>
                <w:szCs w:val="18"/>
                <w:highlight w:val="none"/>
              </w:rPr>
              <w:t xml:space="preserve">亿</w:t>
            </w:r>
            <w:r>
              <w:rPr>
                <w:rFonts w:ascii="宋体" w:hAnsi="宋体" w:cs="宋体"/>
                <w:color w:val="auto"/>
                <w:sz w:val="18"/>
                <w:szCs w:val="18"/>
                <w:highlight w:val="none"/>
              </w:rPr>
              <w:t xml:space="preserve">级</w:t>
            </w:r>
            <w:r>
              <w:rPr>
                <w:rFonts w:hint="eastAsia" w:ascii="宋体" w:hAnsi="宋体" w:cs="宋体"/>
                <w:color w:val="auto"/>
                <w:sz w:val="18"/>
                <w:szCs w:val="18"/>
                <w:highlight w:val="none"/>
              </w:rPr>
              <w:t xml:space="preserve">数据</w:t>
            </w:r>
            <w:r>
              <w:rPr>
                <w:rFonts w:ascii="宋体" w:hAnsi="宋体" w:cs="宋体"/>
                <w:color w:val="auto"/>
                <w:sz w:val="18"/>
                <w:szCs w:val="18"/>
                <w:highlight w:val="none"/>
              </w:rPr>
              <w:t xml:space="preserve">容量的存储</w:t>
            </w:r>
            <w:r>
              <w:rPr>
                <w:color w:val="auto"/>
                <w:highlight w:val="none"/>
              </w:rPr>
            </w:r>
          </w:p>
        </w:tc>
      </w:tr>
      <w:tr>
        <w:trPr/>
        <w:tc>
          <w:tcPr>
            <w:tcW w:w="876" w:type="dxa"/>
            <w:vAlign w:val="center"/>
            <w:textDirection w:val="lrTb"/>
            <w:noWrap/>
          </w:tcPr>
          <w:p>
            <w:pPr>
              <w:pStyle w:val="905"/>
              <w:jc w:val="center"/>
              <w:rPr>
                <w:rFonts w:ascii="宋体" w:hAnsi="宋体" w:cs="宋体"/>
                <w:color w:val="auto"/>
                <w:sz w:val="18"/>
                <w:szCs w:val="18"/>
                <w:highlight w:val="none"/>
              </w:rPr>
            </w:pPr>
            <w:r>
              <w:rPr>
                <w:rFonts w:ascii="宋体" w:hAnsi="宋体" w:cs="宋体"/>
                <w:color w:val="auto"/>
                <w:sz w:val="18"/>
                <w:szCs w:val="18"/>
                <w:highlight w:val="none"/>
              </w:rPr>
              <w:t xml:space="preserve">5</w:t>
            </w:r>
            <w:r>
              <w:rPr>
                <w:color w:val="auto"/>
                <w:highlight w:val="none"/>
              </w:rPr>
            </w:r>
          </w:p>
        </w:tc>
        <w:tc>
          <w:tcPr>
            <w:tcW w:w="2552" w:type="dxa"/>
            <w:vAlign w:val="center"/>
            <w:textDirection w:val="lrTb"/>
            <w:noWrap/>
          </w:tcPr>
          <w:p>
            <w:pPr>
              <w:pStyle w:val="905"/>
              <w:ind w:firstLine="480"/>
              <w:rPr>
                <w:rFonts w:ascii="宋体" w:hAnsi="宋体" w:cs="宋体"/>
                <w:color w:val="auto"/>
                <w:sz w:val="18"/>
                <w:szCs w:val="18"/>
                <w:highlight w:val="none"/>
              </w:rPr>
            </w:pPr>
            <w:r>
              <w:rPr>
                <w:rFonts w:hint="eastAsia" w:ascii="宋体" w:hAnsi="宋体" w:cs="宋体"/>
                <w:color w:val="auto"/>
                <w:sz w:val="18"/>
                <w:szCs w:val="18"/>
                <w:highlight w:val="none"/>
              </w:rPr>
              <w:t xml:space="preserve">数据备份</w:t>
            </w:r>
            <w:r>
              <w:rPr>
                <w:rFonts w:ascii="宋体" w:hAnsi="宋体" w:cs="宋体"/>
                <w:color w:val="auto"/>
                <w:sz w:val="18"/>
                <w:szCs w:val="18"/>
                <w:highlight w:val="none"/>
              </w:rPr>
            </w:r>
            <w:r>
              <w:rPr>
                <w:color w:val="auto"/>
                <w:highlight w:val="none"/>
              </w:rPr>
            </w:r>
          </w:p>
        </w:tc>
        <w:tc>
          <w:tcPr>
            <w:tcW w:w="4947" w:type="dxa"/>
            <w:vAlign w:val="center"/>
            <w:textDirection w:val="lrTb"/>
            <w:noWrap/>
          </w:tcPr>
          <w:p>
            <w:pPr>
              <w:pStyle w:val="905"/>
              <w:rPr>
                <w:rFonts w:ascii="宋体" w:hAnsi="宋体" w:cs="宋体"/>
                <w:color w:val="auto"/>
                <w:sz w:val="18"/>
                <w:szCs w:val="18"/>
                <w:highlight w:val="none"/>
              </w:rPr>
            </w:pPr>
            <w:r>
              <w:rPr>
                <w:rFonts w:hint="eastAsia" w:ascii="宋体" w:hAnsi="宋体" w:cs="宋体"/>
                <w:color w:val="auto"/>
                <w:sz w:val="18"/>
                <w:szCs w:val="18"/>
                <w:highlight w:val="none"/>
              </w:rPr>
              <w:t xml:space="preserve">定期差异数据</w:t>
            </w:r>
            <w:r>
              <w:rPr>
                <w:rFonts w:ascii="宋体" w:hAnsi="宋体" w:cs="宋体"/>
                <w:color w:val="auto"/>
                <w:sz w:val="18"/>
                <w:szCs w:val="18"/>
                <w:highlight w:val="none"/>
              </w:rPr>
              <w:t xml:space="preserve">备份机制</w:t>
            </w:r>
            <w:r>
              <w:rPr>
                <w:color w:val="auto"/>
                <w:highlight w:val="none"/>
              </w:rPr>
            </w:r>
          </w:p>
        </w:tc>
      </w:tr>
    </w:tbl>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信息安全要求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（1）总体信息安全要求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平台建设必须遵循国家电子政务信息安全保障体系要求，按照国家法规加强信息安全管理。</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平台需满足国家信息系统安全等级保护三级要求，满足通过安全等级保护测评的条件；如有需求，需配合采购方完成等级保护三级认证。</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中标方应有明确、完善、可行的信息安全方案，应包括有身份认证、文件加密、数据备份与恢复、防病毒、防入侵等功能。</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（2）具体的信息安全防护要求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本项目遵照网络安全保护要求，对平台系统进行业务运行安全性保障，防止单个业务出现安全风险后，导致平台系统本身以及其他业务受到影响。</w:t>
      </w:r>
      <w:r>
        <w:rPr>
          <w:color w:val="auto"/>
          <w:highlight w:val="none"/>
        </w:rPr>
      </w:r>
    </w:p>
    <w:p>
      <w:pPr>
        <w:pStyle w:val="905"/>
        <w:numPr>
          <w:ilvl w:val="0"/>
          <w:numId w:val="21"/>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访问控制</w:t>
      </w:r>
      <w:r>
        <w:rPr>
          <w:rFonts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虚拟化网络边界部署访问控制机制，并设置访问控制规则，在不同等级的网络区域边界部署访问控制机制，设置访问控制规则。虚拟防火墙，实现对内部的安全域划分和不同业务系统的访问控制，提供网络层的访问控制措施。</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针对网络内部各区域之间的访问，采用防火墙及VLAN划分进行控制。在核心交换机上设置访问控制列表策略，禁止终端用户对安全管理区的直接访问。重要网段及设备进行IP与MAC地址绑定。</w:t>
      </w:r>
      <w:r>
        <w:rPr>
          <w:color w:val="auto"/>
          <w:highlight w:val="none"/>
        </w:rPr>
      </w:r>
    </w:p>
    <w:p>
      <w:pPr>
        <w:pStyle w:val="905"/>
        <w:numPr>
          <w:ilvl w:val="0"/>
          <w:numId w:val="21"/>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入侵防范</w:t>
      </w:r>
      <w:r>
        <w:rPr>
          <w:rFonts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检测到云服务用户发起的网络攻击行为，并能记录攻击类型、攻击时间、攻击流量等；检测到虚拟机与宿主机、虚拟机与虚拟机之间的异常流量；检测到网络攻击行为、异常流量情况时进行告警。</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虚拟防火墙提供的入侵检测，对网络中的流量进行监测，并定期对入侵检测设备的特征库进行升级，及时发现网络中的异常行为。</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针对信息系统的主机系统入侵防范采取操作系统遵循最小安装的原则，仅安装需要的组件和应用程序，关闭不需要的系统服务、默认共享和高危端口；终端安全管理系统或设备配置项设置对终端接入范围进行限制。并通过设置升级服务器或通过补丁分发系统保持系统补丁及时得到更新，增强抵御入侵的防护手段。（终端检测响应系统）或网络防病毒系统的部署能够检测到对重要节点进行入侵的行为，检测虚拟机之间的资源隔离失效，并进行告警，检测到恶意代码感染及在虚拟机间蔓延的情况，并进行告警。</w:t>
      </w:r>
      <w:r>
        <w:rPr>
          <w:color w:val="auto"/>
          <w:highlight w:val="none"/>
        </w:rPr>
      </w:r>
    </w:p>
    <w:p>
      <w:pPr>
        <w:pStyle w:val="905"/>
        <w:numPr>
          <w:ilvl w:val="0"/>
          <w:numId w:val="21"/>
        </w:num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恶意代码防范</w:t>
      </w:r>
      <w:r>
        <w:rPr>
          <w:rFonts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在所有终端主机和服务器上部署网络防病毒软件，加强终端主机的病毒防护能力并及时升级恶意代码软件版本以及恶意代码库。</w:t>
      </w:r>
      <w:r>
        <w:rPr>
          <w:color w:val="auto"/>
          <w:highlight w:val="none"/>
        </w:rPr>
      </w:r>
    </w:p>
    <w:p>
      <w:pPr>
        <w:pStyle w:val="905"/>
        <w:numPr>
          <w:ilvl w:val="0"/>
          <w:numId w:val="21"/>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虚拟化防火墙</w:t>
      </w:r>
      <w:r>
        <w:rPr>
          <w:rFonts w:hint="eastAsia" w:ascii="宋体" w:hAnsi="宋体"/>
          <w:bCs/>
          <w:color w:val="auto"/>
          <w:sz w:val="24"/>
          <w:szCs w:val="24"/>
          <w:highlight w:val="none"/>
        </w:rPr>
      </w:r>
      <w:r>
        <w:rPr>
          <w:color w:val="auto"/>
          <w:highlight w:val="none"/>
        </w:rPr>
      </w:r>
    </w:p>
    <w:tbl>
      <w:tblPr>
        <w:tblW w:w="0" w:type="auto"/>
        <w:jc w:val="center"/>
        <w:tblInd w:w="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4"/>
        <w:gridCol w:w="1134"/>
        <w:gridCol w:w="6146"/>
      </w:tblGrid>
      <w:tr>
        <w:trPr>
          <w:trHeight w:val="20"/>
        </w:trPr>
        <w:tc>
          <w:tcPr>
            <w:tcW w:w="114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项目</w:t>
            </w:r>
            <w:r>
              <w:rPr>
                <w:rFonts w:ascii="宋体" w:hAnsi="宋体" w:cs="微软雅黑"/>
                <w:b/>
                <w:bCs/>
                <w:color w:val="auto"/>
                <w:sz w:val="18"/>
                <w:szCs w:val="18"/>
                <w:highlight w:val="none"/>
              </w:rPr>
            </w:r>
            <w:r>
              <w:rPr>
                <w:color w:val="auto"/>
                <w:highlight w:val="none"/>
              </w:rPr>
            </w:r>
          </w:p>
        </w:tc>
        <w:tc>
          <w:tcPr>
            <w:tcW w:w="113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功能项</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功能要求说明</w:t>
            </w:r>
            <w:r>
              <w:rPr>
                <w:rFonts w:ascii="宋体" w:hAnsi="宋体" w:cs="微软雅黑"/>
                <w:b/>
                <w:bCs/>
                <w:color w:val="auto"/>
                <w:sz w:val="18"/>
                <w:szCs w:val="18"/>
                <w:highlight w:val="none"/>
              </w:rPr>
            </w:r>
            <w:r>
              <w:rPr>
                <w:color w:val="auto"/>
                <w:highlight w:val="none"/>
              </w:rPr>
            </w:r>
          </w:p>
        </w:tc>
      </w:tr>
      <w:tr>
        <w:trPr>
          <w:trHeight w:val="20"/>
        </w:trPr>
        <w:tc>
          <w:tcPr>
            <w:tcW w:w="114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参数要求</w:t>
            </w:r>
            <w:r>
              <w:rPr>
                <w:rFonts w:ascii="宋体" w:hAnsi="宋体" w:cs="微软雅黑"/>
                <w:b/>
                <w:bCs/>
                <w:color w:val="auto"/>
                <w:sz w:val="18"/>
                <w:szCs w:val="18"/>
                <w:highlight w:val="none"/>
              </w:rPr>
            </w:r>
            <w:r>
              <w:rPr>
                <w:color w:val="auto"/>
                <w:highlight w:val="none"/>
              </w:rPr>
            </w:r>
          </w:p>
        </w:tc>
        <w:tc>
          <w:tcPr>
            <w:tcW w:w="1134" w:type="dxa"/>
            <w:vAlign w:val="center"/>
            <w:textDirection w:val="lrTb"/>
            <w:noWrap w:val="false"/>
          </w:tcPr>
          <w:p>
            <w:pPr>
              <w:pStyle w:val="905"/>
              <w:jc w:val="center"/>
              <w:rPr>
                <w:rFonts w:ascii="宋体" w:hAnsi="宋体" w:cs="微软雅黑"/>
                <w:b/>
                <w:bCs/>
                <w:color w:val="auto"/>
                <w:sz w:val="18"/>
                <w:szCs w:val="18"/>
                <w:highlight w:val="none"/>
              </w:rPr>
            </w:pPr>
            <w:r>
              <w:rPr>
                <w:rFonts w:ascii="宋体" w:hAnsi="宋体" w:cs="微软雅黑"/>
                <w:b/>
                <w:bCs/>
                <w:color w:val="auto"/>
                <w:sz w:val="18"/>
                <w:szCs w:val="18"/>
                <w:highlight w:val="none"/>
              </w:rPr>
              <w:t xml:space="preserve">性能参数</w:t>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ascii="宋体" w:hAnsi="宋体" w:cs="微软雅黑"/>
                <w:color w:val="auto"/>
                <w:sz w:val="18"/>
                <w:szCs w:val="18"/>
                <w:highlight w:val="none"/>
              </w:rPr>
              <w:t xml:space="preserve">CPU：2核 内存</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t xml:space="preserve">4GB 硬盘</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t xml:space="preserve">80G</w:t>
            </w:r>
            <w:r>
              <w:rPr>
                <w:rFonts w:hint="eastAsia" w:ascii="宋体" w:hAnsi="宋体" w:cs="微软雅黑"/>
                <w:color w:val="auto"/>
                <w:sz w:val="18"/>
                <w:szCs w:val="18"/>
                <w:highlight w:val="none"/>
              </w:rPr>
              <w:t xml:space="preserve">。应用层吞吐量（设备开启应用层防护时支持的最大吞吐量，包括IPS、杀毒、WAF）≥50M</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restart"/>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安全防护</w:t>
            </w:r>
            <w:r>
              <w:rPr>
                <w:rFonts w:ascii="宋体" w:hAnsi="宋体" w:cs="微软雅黑"/>
                <w:b/>
                <w:bCs/>
                <w:color w:val="auto"/>
                <w:sz w:val="18"/>
                <w:szCs w:val="18"/>
                <w:highlight w:val="none"/>
              </w:rPr>
            </w:r>
            <w:r>
              <w:rPr>
                <w:color w:val="auto"/>
                <w:highlight w:val="none"/>
              </w:rPr>
            </w:r>
          </w:p>
        </w:tc>
        <w:tc>
          <w:tcPr>
            <w:tcW w:w="1134" w:type="dxa"/>
            <w:vAlign w:val="center"/>
            <w:vMerge w:val="restart"/>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DDoS防护</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产品支持对ICMP、UDP、DNS、SYN等协议进行DDOS防护。</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产品支持异常数据包攻击防御，防护类型包括IP数据块分片传输防护、Teardrop攻击防护、Smurf攻击防护、Land攻击防护、WinNuke攻击防护等攻击类型。</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URL分类过滤</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产品支持管控非法、违规网站的访问行为，具备海量的URL分类库。</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文件过滤</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产品支持基于文件传输方式、文件类型等维度的管控策略配置。</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加密流量安全防护</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产品支持https解密功能，支持TCP代理和SSL代理。</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restart"/>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防病毒</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产品支持对SMTP、HTTP、FTP、SMB、POP3、HTTPS、IMAP等协议进行病毒防御。</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产品支持对压缩病毒文件进行检测和拦截，压缩层数支持15层及以上</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产品支持杀毒白名单设置，可以例外排除特定MD5和URL的病毒文件，针对特定文件不进行查杀。</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产品支持杀毒白名单设置，可以例外排除特定MD5和URL的病毒文件，针对特定文件不进行查杀。</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restart"/>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入侵防御</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产品内置不低于16000种漏洞规则，同时支持在控制台界面通过漏洞ID、漏洞名称、危险等级、漏洞CVE标识、漏洞描述等条件查询漏洞特征信息，支持用户自定义IPS规则。</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产品支持基于IMAP、FTP、RDP、VNC、SSH、TELNET、ORACLE、MYSQL、MSSQL等应用协议进行深度检测与防护。</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产品支持僵尸主机检测功能，产品内置僵尸网络特征库超过100万种，可识别主机的异常外联行为。</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restart"/>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Web应用防御</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产品内置超过1000种WEB应用攻击特征，支持对跨站脚本（XSS）攻击、SQL注入、文件包含攻击、信息泄露攻击、WEBSHELL、网站扫描、网页木马等攻击类型进行防护。</w:t>
            </w:r>
            <w:r>
              <w:rPr>
                <w:rFonts w:ascii="宋体" w:hAnsi="宋体" w:cs="微软雅黑"/>
                <w:color w:val="auto"/>
                <w:sz w:val="18"/>
                <w:szCs w:val="18"/>
                <w:highlight w:val="none"/>
              </w:rPr>
            </w:r>
            <w:r>
              <w:rPr>
                <w:color w:val="auto"/>
                <w:highlight w:val="none"/>
              </w:rPr>
            </w:r>
          </w:p>
        </w:tc>
      </w:tr>
      <w:tr>
        <w:trPr>
          <w:cantSplit/>
          <w:trHeight w:val="20"/>
        </w:trPr>
        <w:tc>
          <w:tcPr>
            <w:tcW w:w="114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1134" w:type="dxa"/>
            <w:vAlign w:val="center"/>
            <w:vMerge w:val="continue"/>
            <w:textDirection w:val="lrTb"/>
            <w:noWrap w:val="false"/>
          </w:tcPr>
          <w:p>
            <w:pPr>
              <w:pStyle w:val="905"/>
              <w:jc w:val="center"/>
              <w:rPr>
                <w:rFonts w:ascii="宋体" w:hAnsi="宋体" w:cs="微软雅黑"/>
                <w:b/>
                <w:bCs/>
                <w:color w:val="000000"/>
                <w:sz w:val="18"/>
                <w:szCs w:val="18"/>
              </w:rPr>
            </w:pPr>
            <w:r>
              <w:rPr>
                <w:rFonts w:ascii="宋体" w:hAnsi="宋体" w:cs="微软雅黑"/>
                <w:b/>
                <w:bCs/>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产品支持X-Forworded-For字段检测，并对非法源IP进行日志记录和联动封锁。</w:t>
            </w:r>
            <w:r>
              <w:rPr>
                <w:rFonts w:ascii="宋体" w:hAnsi="宋体" w:cs="微软雅黑"/>
                <w:color w:val="auto"/>
                <w:sz w:val="18"/>
                <w:szCs w:val="18"/>
                <w:highlight w:val="none"/>
              </w:rPr>
            </w:r>
            <w:r>
              <w:rPr>
                <w:color w:val="auto"/>
                <w:highlight w:val="none"/>
              </w:rPr>
            </w:r>
          </w:p>
        </w:tc>
      </w:tr>
      <w:tr>
        <w:trPr>
          <w:trHeight w:val="20"/>
        </w:trPr>
        <w:tc>
          <w:tcPr>
            <w:tcW w:w="114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联动处置</w:t>
            </w:r>
            <w:r>
              <w:rPr>
                <w:rFonts w:ascii="宋体" w:hAnsi="宋体" w:cs="微软雅黑"/>
                <w:b/>
                <w:bCs/>
                <w:color w:val="auto"/>
                <w:sz w:val="18"/>
                <w:szCs w:val="18"/>
                <w:highlight w:val="none"/>
              </w:rPr>
            </w:r>
            <w:r>
              <w:rPr>
                <w:color w:val="auto"/>
                <w:highlight w:val="none"/>
              </w:rPr>
            </w:r>
          </w:p>
        </w:tc>
        <w:tc>
          <w:tcPr>
            <w:tcW w:w="113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终端安全软件联动</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产品支持与终端安全软件联动管理，在防火墙产品完成终端安全策略设置和内网终端安全软件的统一管理。</w:t>
            </w:r>
            <w:r>
              <w:rPr>
                <w:rFonts w:ascii="宋体" w:hAnsi="宋体" w:cs="微软雅黑"/>
                <w:color w:val="auto"/>
                <w:sz w:val="18"/>
                <w:szCs w:val="18"/>
                <w:highlight w:val="none"/>
              </w:rPr>
            </w:r>
            <w:r>
              <w:rPr>
                <w:color w:val="auto"/>
                <w:highlight w:val="none"/>
              </w:rPr>
            </w:r>
          </w:p>
        </w:tc>
      </w:tr>
      <w:tr>
        <w:trPr>
          <w:trHeight w:val="20"/>
        </w:trPr>
        <w:tc>
          <w:tcPr>
            <w:tcW w:w="114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安全策略管理</w:t>
            </w:r>
            <w:r>
              <w:rPr>
                <w:rFonts w:ascii="宋体" w:hAnsi="宋体" w:cs="微软雅黑"/>
                <w:b/>
                <w:bCs/>
                <w:color w:val="auto"/>
                <w:sz w:val="18"/>
                <w:szCs w:val="18"/>
                <w:highlight w:val="none"/>
              </w:rPr>
            </w:r>
            <w:r>
              <w:rPr>
                <w:color w:val="auto"/>
                <w:highlight w:val="none"/>
              </w:rPr>
            </w:r>
          </w:p>
        </w:tc>
        <w:tc>
          <w:tcPr>
            <w:tcW w:w="1134" w:type="dxa"/>
            <w:vAlign w:val="center"/>
            <w:textDirection w:val="lrTb"/>
            <w:noWrap w:val="false"/>
          </w:tcPr>
          <w:p>
            <w:pPr>
              <w:pStyle w:val="905"/>
              <w:jc w:val="center"/>
              <w:rPr>
                <w:rFonts w:ascii="宋体" w:hAnsi="宋体" w:cs="微软雅黑"/>
                <w:b/>
                <w:bCs/>
                <w:color w:val="auto"/>
                <w:sz w:val="18"/>
                <w:szCs w:val="18"/>
                <w:highlight w:val="none"/>
              </w:rPr>
            </w:pPr>
            <w:r>
              <w:rPr>
                <w:rFonts w:hint="eastAsia" w:ascii="宋体" w:hAnsi="宋体" w:cs="微软雅黑"/>
                <w:b/>
                <w:bCs/>
                <w:color w:val="auto"/>
                <w:sz w:val="18"/>
                <w:szCs w:val="18"/>
                <w:highlight w:val="none"/>
              </w:rPr>
              <w:t xml:space="preserve">策略有效性分析</w:t>
            </w:r>
            <w:r>
              <w:rPr>
                <w:rFonts w:ascii="宋体" w:hAnsi="宋体" w:cs="微软雅黑"/>
                <w:b/>
                <w:bCs/>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产品支持安全策略有效性分析功能，分析内容至少包括策略冗余分析、策略匹配分析、风险端口风险等内容，提供安全策略优化建议。</w:t>
            </w:r>
            <w:r>
              <w:rPr>
                <w:rFonts w:ascii="宋体" w:hAnsi="宋体" w:cs="微软雅黑"/>
                <w:color w:val="auto"/>
                <w:sz w:val="18"/>
                <w:szCs w:val="18"/>
                <w:highlight w:val="none"/>
              </w:rPr>
            </w:r>
            <w:r>
              <w:rPr>
                <w:color w:val="auto"/>
                <w:highlight w:val="none"/>
              </w:rPr>
            </w:r>
          </w:p>
        </w:tc>
      </w:tr>
    </w:tbl>
    <w:p>
      <w:pPr>
        <w:pStyle w:val="905"/>
        <w:numPr>
          <w:ilvl w:val="0"/>
          <w:numId w:val="21"/>
        </w:num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虚拟化终端安全软件</w:t>
      </w:r>
      <w:r>
        <w:rPr>
          <w:rFonts w:hint="eastAsia" w:ascii="宋体" w:hAnsi="宋体"/>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2"/>
        <w:gridCol w:w="1134"/>
        <w:gridCol w:w="6146"/>
      </w:tblGrid>
      <w:tr>
        <w:trPr>
          <w:cantSplit/>
          <w:trHeight w:val="20"/>
        </w:trPr>
        <w:tc>
          <w:tcPr>
            <w:tcW w:w="1142" w:type="dxa"/>
            <w:vAlign w:val="center"/>
            <w:vMerge w:val="restart"/>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环境要求</w:t>
            </w:r>
            <w:r>
              <w:rPr>
                <w:rFonts w:ascii="宋体" w:hAnsi="宋体" w:cs="微软雅黑"/>
                <w:b/>
                <w:color w:val="auto"/>
                <w:sz w:val="18"/>
                <w:szCs w:val="18"/>
                <w:highlight w:val="none"/>
              </w:rPr>
            </w:r>
            <w:r>
              <w:rPr>
                <w:color w:val="auto"/>
                <w:highlight w:val="none"/>
              </w:rPr>
            </w:r>
          </w:p>
        </w:tc>
        <w:tc>
          <w:tcPr>
            <w:tcW w:w="1134"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产品形态</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产品可以纯软件交付，包含管理控制中心软件及终端客户端软件，其中管理控制中心可云化部署</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国产化操作系统支持</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支持主流国产化操作系统，如中标麒麟、银河麒麟、统信等</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restart"/>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全网威胁展示</w:t>
            </w:r>
            <w:r>
              <w:rPr>
                <w:rFonts w:ascii="宋体" w:hAnsi="宋体" w:cs="微软雅黑"/>
                <w:b/>
                <w:color w:val="auto"/>
                <w:sz w:val="18"/>
                <w:szCs w:val="18"/>
                <w:highlight w:val="none"/>
              </w:rPr>
            </w:r>
            <w:r>
              <w:rPr>
                <w:color w:val="auto"/>
                <w:highlight w:val="none"/>
              </w:rPr>
            </w:r>
          </w:p>
        </w:tc>
        <w:tc>
          <w:tcPr>
            <w:tcW w:w="1134"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多维度威胁展示</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提供勒索病毒整体防护体系入口，直观展示最近七天勒索病毒防护效果，包括已处置的恶意文件数量、已拦截可疑行为次数、已阻止的未知进程操作次数、已阻止的暴力破解攻击次数</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多平台联动防御展示</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支持同时展示跟同品牌虚拟化防火墙等产品的联动状态</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restart"/>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威胁防御</w:t>
            </w:r>
            <w:r>
              <w:rPr>
                <w:rFonts w:ascii="宋体" w:hAnsi="宋体" w:cs="微软雅黑"/>
                <w:b/>
                <w:color w:val="auto"/>
                <w:sz w:val="18"/>
                <w:szCs w:val="18"/>
                <w:highlight w:val="none"/>
              </w:rPr>
            </w:r>
            <w:r>
              <w:rPr>
                <w:color w:val="auto"/>
                <w:highlight w:val="none"/>
              </w:rPr>
            </w:r>
          </w:p>
        </w:tc>
        <w:tc>
          <w:tcPr>
            <w:tcW w:w="1134" w:type="dxa"/>
            <w:vAlign w:val="center"/>
            <w:vMerge w:val="restart"/>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威胁检测</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具备自研的基于人工智能的检测引擎，支持无特征检测技术，有效应对恶意代码及其变种</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通过智能识别终端环境情况（低配硬件、老旧设备、虚拟化等）和当前终端资源占用，在闲时实时监控和病毒扫描场景，都可智能调整aES的资源占用（CPU、IO等），为业务让出资源，不卡业务，对业务零摩擦。</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具备基于本地缓存信誉检测与全网信誉检测，构建企业全网信誉库的检测引擎，做到企业内网一台威胁，全网感知并进行针对性查杀，支持处置病毒时选择是否在其它终端上同步处置有效提升查杀效率，减少终端资源开销</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vMerge w:val="restart"/>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入侵攻击行为检测</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具备终端侧系统层、应用层行为数据采集能力，数据采集面覆盖ATT&amp;CK技术面163项</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支持采集记录文件操作事件、进程操作事件、网络连接、注册表操作、驱动加载等系统层应用层行为数据，对这类行为持续监测分析，对可疑的攻击行为提前研判</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不同攻击阶段的主要攻击手法检测，对包括但不仅限于以下攻击手法精准检测，执行、持久化、权限提升、防御逃逸、凭证窃取、横向移动等攻击手法检测记录。显示事件详情，展示攻击手法对应的高危操作和威胁实体</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支持基于行为侧采集的数据，结合用户真实业务环境做上下文强关联分析，对攻击精准研判。包括但不仅限于钓鱼、挖矿、勒索、APT等常见攻击场景</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支持以可视化形式展现攻击故事，提供可视化的进程树溯源，可直观看出攻击入口、相关操作行为、高危实体文件等信息，协助客户进行事件攻击溯源和研判分析</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支持对攻击事件深度分析，展示每步关键进程相关的文件行为、域名访问行为、进程操作行为、命令行参数等攻击相关的关键行为，帮助用户快速了解攻击者操作，洞悉目的和危害面</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cantSplit/>
          <w:trHeight w:val="20"/>
        </w:trPr>
        <w:tc>
          <w:tcPr>
            <w:tcW w:w="1142"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1134" w:type="dxa"/>
            <w:vAlign w:val="center"/>
            <w:vMerge w:val="continue"/>
            <w:textDirection w:val="lrTb"/>
            <w:noWrap w:val="false"/>
          </w:tcPr>
          <w:p>
            <w:pPr>
              <w:pStyle w:val="905"/>
              <w:rPr>
                <w:rFonts w:ascii="宋体" w:hAnsi="宋体" w:cs="微软雅黑"/>
                <w:b/>
                <w:color w:val="000000"/>
                <w:sz w:val="18"/>
                <w:szCs w:val="18"/>
              </w:rPr>
            </w:pPr>
            <w:r>
              <w:rPr>
                <w:rFonts w:ascii="宋体" w:hAnsi="宋体" w:cs="微软雅黑"/>
                <w:b/>
                <w:color w:val="000000"/>
                <w:sz w:val="18"/>
                <w:szCs w:val="18"/>
              </w:rPr>
            </w: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支持基于终端侧采集记录的行为数据，对文件变更、进程变更、网络连接、DNS查询等多种行为，在全网中搜索命中指定条件的端点和行为，进行高级威胁的狩猎对全网终端发起威胁狩猎，挖掘潜伏攻击</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trHeight w:val="20"/>
        </w:trPr>
        <w:tc>
          <w:tcPr>
            <w:tcW w:w="1142"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漏洞管理</w:t>
            </w:r>
            <w:r>
              <w:rPr>
                <w:rFonts w:ascii="宋体" w:hAnsi="宋体" w:cs="微软雅黑"/>
                <w:b/>
                <w:color w:val="auto"/>
                <w:sz w:val="18"/>
                <w:szCs w:val="18"/>
                <w:highlight w:val="none"/>
              </w:rPr>
            </w:r>
            <w:r>
              <w:rPr>
                <w:color w:val="auto"/>
                <w:highlight w:val="none"/>
              </w:rPr>
            </w:r>
          </w:p>
        </w:tc>
        <w:tc>
          <w:tcPr>
            <w:tcW w:w="1134"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漏洞扫描</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支持在管理平台下发终端漏洞扫描任务，并针对已发现的漏洞提供相应的修复建议。</w:t>
            </w:r>
            <w:r>
              <w:rPr>
                <w:rFonts w:ascii="宋体" w:hAnsi="宋体" w:cs="微软雅黑"/>
                <w:color w:val="auto"/>
                <w:sz w:val="18"/>
                <w:szCs w:val="18"/>
                <w:highlight w:val="none"/>
              </w:rPr>
            </w:r>
            <w:r>
              <w:rPr>
                <w:color w:val="auto"/>
                <w:highlight w:val="none"/>
              </w:rPr>
            </w:r>
          </w:p>
        </w:tc>
      </w:tr>
      <w:tr>
        <w:trPr>
          <w:trHeight w:val="20"/>
        </w:trPr>
        <w:tc>
          <w:tcPr>
            <w:tcW w:w="1142"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服务器防护</w:t>
            </w:r>
            <w:r>
              <w:rPr>
                <w:rFonts w:ascii="宋体" w:hAnsi="宋体" w:cs="微软雅黑"/>
                <w:b/>
                <w:color w:val="auto"/>
                <w:sz w:val="18"/>
                <w:szCs w:val="18"/>
                <w:highlight w:val="none"/>
              </w:rPr>
            </w:r>
            <w:r>
              <w:rPr>
                <w:color w:val="auto"/>
                <w:highlight w:val="none"/>
              </w:rPr>
            </w:r>
          </w:p>
        </w:tc>
        <w:tc>
          <w:tcPr>
            <w:tcW w:w="1134"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RDP防护</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支持windows服务器RDP远程登录保护，可开启RDP远程登录二次认证，以防止黑客对服务器的入侵</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trHeight w:val="20"/>
        </w:trPr>
        <w:tc>
          <w:tcPr>
            <w:tcW w:w="1142"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微隔离</w:t>
            </w:r>
            <w:r>
              <w:rPr>
                <w:rFonts w:ascii="宋体" w:hAnsi="宋体" w:cs="微软雅黑"/>
                <w:b/>
                <w:color w:val="auto"/>
                <w:sz w:val="18"/>
                <w:szCs w:val="18"/>
                <w:highlight w:val="none"/>
              </w:rPr>
            </w:r>
            <w:r>
              <w:rPr>
                <w:color w:val="auto"/>
                <w:highlight w:val="none"/>
              </w:rPr>
            </w:r>
          </w:p>
        </w:tc>
        <w:tc>
          <w:tcPr>
            <w:tcW w:w="1134"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控制策略</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支持基于IP（组）、服务和角色维度进行流量访问控制，实现对应用服务之间的访问隔离，并且支持对配置项的备份以及恢复操作</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r>
        <w:trPr>
          <w:trHeight w:val="20"/>
        </w:trPr>
        <w:tc>
          <w:tcPr>
            <w:tcW w:w="1142"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运维管理</w:t>
            </w:r>
            <w:r>
              <w:rPr>
                <w:rFonts w:ascii="宋体" w:hAnsi="宋体" w:cs="微软雅黑"/>
                <w:b/>
                <w:color w:val="auto"/>
                <w:sz w:val="18"/>
                <w:szCs w:val="18"/>
                <w:highlight w:val="none"/>
              </w:rPr>
            </w:r>
            <w:r>
              <w:rPr>
                <w:color w:val="auto"/>
                <w:highlight w:val="none"/>
              </w:rPr>
            </w:r>
          </w:p>
        </w:tc>
        <w:tc>
          <w:tcPr>
            <w:tcW w:w="1134" w:type="dxa"/>
            <w:vAlign w:val="center"/>
            <w:textDirection w:val="lrTb"/>
            <w:noWrap w:val="false"/>
          </w:tcPr>
          <w:p>
            <w:pPr>
              <w:pStyle w:val="905"/>
              <w:rPr>
                <w:rFonts w:ascii="宋体" w:hAnsi="宋体" w:cs="微软雅黑"/>
                <w:b/>
                <w:color w:val="auto"/>
                <w:sz w:val="18"/>
                <w:szCs w:val="18"/>
                <w:highlight w:val="none"/>
              </w:rPr>
            </w:pPr>
            <w:r>
              <w:rPr>
                <w:rFonts w:hint="eastAsia" w:ascii="宋体" w:hAnsi="宋体" w:cs="微软雅黑"/>
                <w:b/>
                <w:color w:val="auto"/>
                <w:sz w:val="18"/>
                <w:szCs w:val="18"/>
                <w:highlight w:val="none"/>
              </w:rPr>
              <w:t xml:space="preserve">升级管理</w:t>
            </w:r>
            <w:r>
              <w:rPr>
                <w:rFonts w:ascii="宋体" w:hAnsi="宋体" w:cs="微软雅黑"/>
                <w:b/>
                <w:color w:val="auto"/>
                <w:sz w:val="18"/>
                <w:szCs w:val="18"/>
                <w:highlight w:val="none"/>
              </w:rPr>
            </w:r>
            <w:r>
              <w:rPr>
                <w:color w:val="auto"/>
                <w:highlight w:val="none"/>
              </w:rPr>
            </w:r>
          </w:p>
        </w:tc>
        <w:tc>
          <w:tcPr>
            <w:tcW w:w="6146" w:type="dxa"/>
            <w:vAlign w:val="center"/>
            <w:textDirection w:val="lrTb"/>
            <w:noWrap w:val="false"/>
          </w:tcPr>
          <w:p>
            <w:pPr>
              <w:pStyle w:val="905"/>
              <w:rPr>
                <w:rFonts w:ascii="宋体" w:hAnsi="宋体" w:cs="微软雅黑"/>
                <w:color w:val="auto"/>
                <w:sz w:val="18"/>
                <w:szCs w:val="18"/>
                <w:highlight w:val="none"/>
              </w:rPr>
            </w:pPr>
            <w:r>
              <w:rPr>
                <w:rFonts w:hint="eastAsia" w:ascii="宋体" w:hAnsi="宋体" w:cs="微软雅黑"/>
                <w:color w:val="auto"/>
                <w:sz w:val="18"/>
                <w:szCs w:val="18"/>
                <w:highlight w:val="none"/>
              </w:rPr>
              <w:t xml:space="preserve">支持客户端的错峰升级，可根据实际情况控制客户端同时升级的最大数量，避免大量终端程序同时更新造成网络拥堵或I/O风暴</w:t>
            </w:r>
            <w:r>
              <w:rPr>
                <w:rFonts w:hint="eastAsia" w:ascii="宋体" w:hAnsi="宋体" w:cs="微软雅黑"/>
                <w:color w:val="auto"/>
                <w:sz w:val="18"/>
                <w:szCs w:val="18"/>
                <w:highlight w:val="none"/>
              </w:rPr>
              <w:t xml:space="preserve">。</w:t>
            </w:r>
            <w:r>
              <w:rPr>
                <w:rFonts w:ascii="宋体" w:hAnsi="宋体" w:cs="微软雅黑"/>
                <w:color w:val="auto"/>
                <w:sz w:val="18"/>
                <w:szCs w:val="18"/>
                <w:highlight w:val="none"/>
              </w:rPr>
            </w:r>
            <w:r>
              <w:rPr>
                <w:color w:val="auto"/>
                <w:highlight w:val="none"/>
              </w:rPr>
            </w:r>
          </w:p>
        </w:tc>
      </w:tr>
    </w:tbl>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三、管理要求</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1.项目人员配置要求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中标方</w:t>
      </w:r>
      <w:r>
        <w:rPr>
          <w:rFonts w:hint="eastAsia" w:ascii="宋体" w:hAnsi="宋体"/>
          <w:bCs/>
          <w:color w:val="auto"/>
          <w:sz w:val="24"/>
          <w:szCs w:val="24"/>
          <w:highlight w:val="none"/>
        </w:rPr>
        <w:t xml:space="preserve">应</w:t>
      </w:r>
      <w:r>
        <w:rPr>
          <w:rFonts w:hint="eastAsia" w:ascii="宋体" w:hAnsi="宋体"/>
          <w:bCs/>
          <w:color w:val="auto"/>
          <w:sz w:val="24"/>
          <w:szCs w:val="24"/>
          <w:highlight w:val="none"/>
        </w:rPr>
        <w:t xml:space="preserve">成立专业的项目团队，指定专职于本项目的项目经理，配置相应的项目管理、系统分析、设计、开发、测试、集成、培训、质量保证等人员。</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2.项目进度要求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合同签订</w:t>
      </w:r>
      <w:r>
        <w:rPr>
          <w:rFonts w:hint="eastAsia" w:ascii="宋体" w:hAnsi="宋体"/>
          <w:bCs/>
          <w:color w:val="auto"/>
          <w:sz w:val="24"/>
          <w:szCs w:val="24"/>
          <w:highlight w:val="none"/>
        </w:rPr>
        <w:t xml:space="preserve">生效</w:t>
      </w:r>
      <w:r>
        <w:rPr>
          <w:rFonts w:hint="eastAsia" w:ascii="宋体" w:hAnsi="宋体"/>
          <w:bCs/>
          <w:color w:val="auto"/>
          <w:sz w:val="24"/>
          <w:szCs w:val="24"/>
          <w:highlight w:val="none"/>
        </w:rPr>
        <w:t xml:space="preserve">后9个月内完成需求调研、开发、测试、部署、调优、培训等工作，具备上线运行条件并达到验收要求后进行项目验收。</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3.</w:t>
      </w:r>
      <w:r>
        <w:rPr>
          <w:rFonts w:hint="eastAsia" w:ascii="宋体" w:hAnsi="宋体"/>
          <w:b/>
          <w:bCs/>
          <w:color w:val="auto"/>
          <w:sz w:val="24"/>
          <w:szCs w:val="24"/>
          <w:highlight w:val="none"/>
        </w:rPr>
        <w:t xml:space="preserve">项目质量管理要求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中标方应有针对本项目的质量保证体系和组织，并应制订好质量保证计划，列出项目实施过程中质量监督和保证执行的措施，记录质量保证活动，并保存和维护这些记录。</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4.</w:t>
      </w:r>
      <w:r>
        <w:rPr>
          <w:rFonts w:hint="eastAsia" w:ascii="宋体" w:hAnsi="宋体"/>
          <w:b/>
          <w:bCs/>
          <w:color w:val="auto"/>
          <w:sz w:val="24"/>
          <w:szCs w:val="24"/>
          <w:highlight w:val="none"/>
        </w:rPr>
        <w:t xml:space="preserve">知识产权及涉密管理要求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方应保证在本项目使用的任何产品和服务（包括部分使用）时，不会产生因第三方提出侵犯其专利权、商标权或其它知识产权而引起的法律和经济纠纷，如因专利权、商标权或其它知识产权而引起法律和经济纠纷，由中标方承担所有相关责任。</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（2）中标方需提供开发接口和开发手册等技术文档，并</w:t>
      </w:r>
      <w:r>
        <w:rPr>
          <w:rFonts w:hint="eastAsia" w:ascii="宋体" w:hAnsi="宋体"/>
          <w:bCs/>
          <w:color w:val="auto"/>
          <w:sz w:val="24"/>
          <w:szCs w:val="24"/>
          <w:highlight w:val="none"/>
        </w:rPr>
        <w:t xml:space="preserve">应</w:t>
      </w:r>
      <w:r>
        <w:rPr>
          <w:rFonts w:hint="eastAsia" w:ascii="宋体" w:hAnsi="宋体"/>
          <w:bCs/>
          <w:color w:val="auto"/>
          <w:sz w:val="24"/>
          <w:szCs w:val="24"/>
          <w:highlight w:val="none"/>
        </w:rPr>
        <w:t xml:space="preserve">提供相应的技术支持。</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（3）本项目产生和承载的数据资源归采购人所有，未经采购人书面同意，中标方不可将数据资源用于本项目之外，包括数据复制、加工、共享、应用和提供给第三方。</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所有参与本次项目的人员应签订正式保密协议，并在工作中坚持保密原则，中标方严格规范执行各项保密制度，对在项目招标、建设、质保各阶段取得采购人各类信息进行保密管理，杜绝任何泄密事件的发生。</w:t>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5.项目验收要求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履约验收主体：无锡市机关事务管理局</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履约验收时间：合同签订生效后9个月内完成需求调研、开发、测试、部署、调优、培训等工作，具备上线运行条件并达到验收要求后进行项目验收。</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履约验收方式：采购人根据国家有关规定、招标文件、中标方的投标文件以及合同约定的内容和验收标准进行验收。</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履约验收程序：平台系统经过试运行，满足要求并具备验收条件后，中标方提出验收申请，由采购方组织验收。</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履约验收内容和标准：</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（1）中标方应当负责在项目整体验收前将平台系统的全部各种相关的系统软件和文档，以及有关产品等文档汇集成册交付给采购方，如中标方不提供以上资料，采购方有权不办理项目整体验收程序。</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（2）平台系统经过试运行，各项功能和性能指标满足要求，可进行验收。具体要求如下：</w:t>
      </w:r>
      <w:r>
        <w:rPr>
          <w:color w:val="auto"/>
          <w:highlight w:val="none"/>
        </w:rPr>
      </w:r>
    </w:p>
    <w:p>
      <w:pPr>
        <w:pStyle w:val="905"/>
        <w:ind w:left="42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①平台功能、性能等测试满足采购人的采购需求；</w:t>
      </w:r>
      <w:r>
        <w:rPr>
          <w:color w:val="auto"/>
          <w:highlight w:val="none"/>
        </w:rPr>
      </w:r>
    </w:p>
    <w:p>
      <w:pPr>
        <w:pStyle w:val="905"/>
        <w:ind w:left="42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②满足相关部门的验收要求；</w:t>
      </w:r>
      <w:r>
        <w:rPr>
          <w:color w:val="auto"/>
          <w:highlight w:val="none"/>
        </w:rPr>
      </w:r>
    </w:p>
    <w:p>
      <w:pPr>
        <w:pStyle w:val="905"/>
        <w:ind w:left="420"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③相关文档齐全、规范，参照国家相关标准执行。</w:t>
      </w:r>
      <w:r>
        <w:rPr>
          <w:rFonts w:hint="eastAsia" w:ascii="宋体" w:hAnsi="宋体"/>
          <w:bCs/>
          <w:color w:val="auto"/>
          <w:sz w:val="24"/>
          <w:szCs w:val="24"/>
          <w:highlight w:val="none"/>
        </w:rPr>
      </w:r>
      <w:r>
        <w:rPr>
          <w:color w:val="auto"/>
          <w:highlight w:val="none"/>
        </w:rPr>
      </w:r>
    </w:p>
    <w:p>
      <w:pPr>
        <w:pStyle w:val="905"/>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6.售后服务要求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运维服务要求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中标方必须为本项目建立技术支持和售后服务队伍，提供3年运维保障。</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（1）运维服务期为项目通过验收</w:t>
      </w:r>
      <w:r>
        <w:rPr>
          <w:rFonts w:hint="eastAsia" w:ascii="宋体" w:hAnsi="宋体"/>
          <w:bCs/>
          <w:color w:val="auto"/>
          <w:sz w:val="24"/>
          <w:szCs w:val="24"/>
          <w:highlight w:val="none"/>
        </w:rPr>
        <w:t xml:space="preserve">合格之日起</w:t>
      </w:r>
      <w:r>
        <w:rPr>
          <w:rFonts w:hint="eastAsia" w:ascii="宋体" w:hAnsi="宋体"/>
          <w:bCs/>
          <w:color w:val="auto"/>
          <w:sz w:val="24"/>
          <w:szCs w:val="24"/>
          <w:highlight w:val="none"/>
        </w:rPr>
        <w:t xml:space="preserve">3年。</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（2）中标方需实时保证系统正常运行，并完成以下工作：</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①平台系统日常运行监测，主动发现异常和隐患；</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②平台及系统数据备份，包括但不限于平台及配置备份、数据备份，其中数据增量备份不低于1周/次；</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③对于项目运行过程中发现的各类故障以及需要修补的各类系统漏洞，中标方应免费对系统进行修复或版本升级以使系统恢复正常运行。</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（3）故障响应及处理：</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①故障响应时间：提供全年的7*24小时响应服务（包括节假日）。故障的响应为2小时以内；</w:t>
      </w:r>
      <w:r>
        <w:rPr>
          <w:color w:val="auto"/>
          <w:highlight w:val="none"/>
        </w:rPr>
      </w:r>
    </w:p>
    <w:p>
      <w:pPr>
        <w:pStyle w:val="905"/>
        <w:ind w:firstLine="96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②故障恢复时间：系统出现异常或故障时，中标方须积极查找原因，并</w:t>
      </w:r>
      <w:r>
        <w:rPr>
          <w:rFonts w:hint="eastAsia" w:ascii="宋体" w:hAnsi="宋体"/>
          <w:bCs/>
          <w:color w:val="auto"/>
          <w:sz w:val="24"/>
          <w:szCs w:val="24"/>
          <w:highlight w:val="none"/>
        </w:rPr>
        <w:t xml:space="preserve">在</w:t>
      </w:r>
      <w:r>
        <w:rPr>
          <w:rFonts w:hint="eastAsia" w:ascii="宋体" w:hAnsi="宋体"/>
          <w:bCs/>
          <w:color w:val="auto"/>
          <w:sz w:val="24"/>
          <w:szCs w:val="24"/>
          <w:highlight w:val="none"/>
        </w:rPr>
        <w:t xml:space="preserve">8小时内恢复系统正常运行，如遇不可抗力、网络攻击等特殊情况造成</w:t>
      </w:r>
      <w:r>
        <w:rPr>
          <w:rFonts w:hint="eastAsia" w:ascii="宋体" w:hAnsi="宋体"/>
          <w:bCs/>
          <w:color w:val="auto"/>
          <w:sz w:val="24"/>
          <w:szCs w:val="24"/>
          <w:highlight w:val="none"/>
        </w:rPr>
        <w:t xml:space="preserve">服务器</w:t>
      </w:r>
      <w:r>
        <w:rPr>
          <w:rFonts w:hint="eastAsia" w:ascii="宋体" w:hAnsi="宋体"/>
          <w:bCs/>
          <w:color w:val="auto"/>
          <w:sz w:val="24"/>
          <w:szCs w:val="24"/>
          <w:highlight w:val="none"/>
        </w:rPr>
        <w:t xml:space="preserve">宕机等重大故障，应在8小时内提供解决方案，必要时在24小时内在备用服务器恢复至最近一次备份状态，使平台暂时恢复正常运行，并在现场条件恢复后的24小时内恢复平台正常运行，同时持续跟进故障的最终解决或解答。</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培训要求</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（1）项目完成后，中标方需针对该项目编制软件使用手册，并协助采购方分别组织市级机关等各级公共机构进行软件使用培训，为各级公共机构提供平台使用账号和密码，确保正常使用。</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（2）中标方应负责对用户进行全面的技术培训（培训费用包含在总报价中），使用户达到能独立操作使用平台各项功能，以便用户所使用的软件产品能够正常、安全地运行。</w:t>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（3）中标方的培训对象为系统管理员和系统使用人员。</w:t>
      </w:r>
      <w:r>
        <w:rPr>
          <w:rFonts w:hint="eastAsia"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p>
    <w:p>
      <w:pPr>
        <w:pStyle w:val="905"/>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rPr>
          <w:color w:val="auto"/>
          <w:highlight w:val="none"/>
        </w:rPr>
      </w:r>
    </w:p>
    <w:p>
      <w:pPr>
        <w:pStyle w:val="905"/>
        <w:ind w:firstLine="480"/>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rPr>
          <w:rFonts w:ascii="宋体" w:hAnsi="宋体"/>
          <w:b/>
          <w:color w:val="auto"/>
          <w:sz w:val="30"/>
          <w:szCs w:val="30"/>
          <w:highlight w:val="none"/>
        </w:rPr>
      </w:r>
      <w:r>
        <w:rPr>
          <w:color w:val="auto"/>
          <w:highlight w:val="none"/>
        </w:rPr>
      </w:r>
    </w:p>
    <w:p>
      <w:pPr>
        <w:pStyle w:val="905"/>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rPr>
          <w:rFonts w:ascii="宋体"/>
          <w:bCs/>
          <w:color w:val="auto"/>
          <w:sz w:val="24"/>
          <w:szCs w:val="24"/>
          <w:highlight w:val="none"/>
        </w:rPr>
      </w:r>
      <w:r>
        <w:rPr>
          <w:color w:val="auto"/>
          <w:highlight w:val="none"/>
        </w:rPr>
      </w:r>
    </w:p>
    <w:p>
      <w:pPr>
        <w:pStyle w:val="905"/>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rPr>
          <w:rFonts w:ascii="宋体"/>
          <w:bCs/>
          <w:color w:val="auto"/>
          <w:sz w:val="24"/>
          <w:szCs w:val="24"/>
          <w:highlight w:val="none"/>
        </w:rPr>
      </w:r>
      <w:r>
        <w:rPr>
          <w:color w:val="auto"/>
          <w:highlight w:val="none"/>
        </w:rPr>
      </w:r>
    </w:p>
    <w:p>
      <w:pPr>
        <w:pStyle w:val="905"/>
        <w:numPr>
          <w:ilvl w:val="1"/>
          <w:numId w:val="7"/>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auto"/>
          <w:sz w:val="24"/>
          <w:szCs w:val="24"/>
          <w:highlight w:val="none"/>
        </w:rPr>
      </w:r>
      <w:r>
        <w:rPr>
          <w:color w:val="auto"/>
          <w:highlight w:val="none"/>
        </w:rPr>
      </w:r>
    </w:p>
    <w:p>
      <w:pPr>
        <w:pStyle w:val="905"/>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投标人必须在满足招标文件要求的基础上进行报价，如有技术偏离请于投标偏离表中说明。</w:t>
      </w:r>
      <w:r>
        <w:rPr>
          <w:rFonts w:ascii="宋体"/>
          <w:bCs/>
          <w:color w:val="auto"/>
          <w:sz w:val="24"/>
          <w:szCs w:val="24"/>
          <w:highlight w:val="none"/>
        </w:rPr>
      </w:r>
      <w:r>
        <w:rPr>
          <w:color w:val="auto"/>
          <w:highlight w:val="none"/>
        </w:rP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w:t>
      </w:r>
      <w:r>
        <w:rPr>
          <w:rFonts w:hint="eastAsia" w:ascii="宋体" w:hAnsi="宋体"/>
          <w:bCs/>
          <w:color w:val="auto"/>
          <w:sz w:val="24"/>
          <w:szCs w:val="24"/>
          <w:highlight w:val="none"/>
        </w:rPr>
        <w:t xml:space="preserve">自合同签订后9个月内完成需求调研、开发、测试、部署、调优、培训等工作，具备上线运行条件并达到验收要求后进行项目验收。</w:t>
      </w:r>
      <w:r>
        <w:rPr>
          <w:rFonts w:ascii="宋体"/>
          <w:bCs/>
          <w:color w:val="auto"/>
          <w:sz w:val="24"/>
          <w:szCs w:val="24"/>
          <w:highlight w:val="none"/>
        </w:rPr>
      </w:r>
      <w:r>
        <w:rPr>
          <w:color w:val="auto"/>
          <w:highlight w:val="none"/>
        </w:rP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w:t>
      </w:r>
      <w:r>
        <w:rPr>
          <w:rFonts w:hint="eastAsia" w:ascii="宋体"/>
          <w:bCs/>
          <w:color w:val="auto"/>
          <w:sz w:val="24"/>
          <w:szCs w:val="24"/>
          <w:highlight w:val="none"/>
        </w:rPr>
        <w:t xml:space="preserve">自项目验收合格之日起三年。</w:t>
      </w:r>
      <w:r>
        <w:rPr>
          <w:rFonts w:ascii="宋体"/>
          <w:bCs/>
          <w:color w:val="auto"/>
          <w:sz w:val="24"/>
          <w:szCs w:val="24"/>
          <w:highlight w:val="none"/>
        </w:rPr>
      </w:r>
      <w:r>
        <w:rPr>
          <w:color w:val="auto"/>
          <w:highlight w:val="none"/>
        </w:rP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合同签订</w:t>
      </w:r>
      <w:r>
        <w:rPr>
          <w:rFonts w:hint="eastAsia" w:ascii="宋体" w:hAnsi="宋体"/>
          <w:bCs/>
          <w:color w:val="auto"/>
          <w:sz w:val="24"/>
          <w:szCs w:val="24"/>
          <w:highlight w:val="none"/>
        </w:rPr>
        <w:t xml:space="preserve">生效</w:t>
      </w:r>
      <w:r>
        <w:rPr>
          <w:rFonts w:hint="eastAsia" w:ascii="宋体" w:hAnsi="宋体"/>
          <w:bCs/>
          <w:color w:val="auto"/>
          <w:sz w:val="24"/>
          <w:szCs w:val="24"/>
          <w:highlight w:val="none"/>
        </w:rPr>
        <w:t xml:space="preserve">后，采购人向中标供应商支付中标金额的30%，项目初验完成后30日内，采购人向中标供应商支付中标金额的50%；项目完成终验后30日内，采购人向中标供应商支付中标金额的20%</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合同另有约定的，从其约定，但付款期限最长不得超过60日。</w:t>
      </w:r>
      <w:r>
        <w:rPr>
          <w:rFonts w:hint="eastAsia" w:ascii="宋体"/>
          <w:bCs/>
          <w:color w:val="auto"/>
          <w:sz w:val="24"/>
          <w:szCs w:val="24"/>
          <w:highlight w:val="none"/>
        </w:rPr>
      </w:r>
      <w:r>
        <w:rPr>
          <w:color w:val="auto"/>
          <w:highlight w:val="none"/>
        </w:rP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中标供应商按签约合同价的</w:t>
      </w:r>
      <w:r>
        <w:rPr>
          <w:rFonts w:hint="eastAsia" w:ascii="宋体"/>
          <w:bCs/>
          <w:color w:val="auto"/>
          <w:sz w:val="24"/>
          <w:szCs w:val="24"/>
          <w:highlight w:val="none"/>
        </w:rPr>
        <w:t xml:space="preserve">3</w:t>
      </w:r>
      <w:r>
        <w:rPr>
          <w:rFonts w:hint="eastAsia" w:ascii="宋体"/>
          <w:bCs/>
          <w:color w:val="auto"/>
          <w:sz w:val="24"/>
          <w:szCs w:val="24"/>
          <w:highlight w:val="none"/>
        </w:rPr>
        <w:t xml:space="preserve">%</w:t>
      </w:r>
      <w:r>
        <w:rPr>
          <w:rFonts w:hint="eastAsia" w:ascii="宋体" w:hAnsi="宋体"/>
          <w:color w:val="auto"/>
          <w:sz w:val="24"/>
          <w:szCs w:val="24"/>
          <w:highlight w:val="none"/>
        </w:rPr>
        <w:t xml:space="preserve">向采购人缴纳履约保证金；</w:t>
      </w:r>
      <w:r>
        <w:rPr>
          <w:rFonts w:hint="eastAsia" w:ascii="宋体"/>
          <w:bCs/>
          <w:color w:val="auto"/>
          <w:sz w:val="24"/>
          <w:szCs w:val="24"/>
          <w:highlight w:val="none"/>
        </w:rPr>
        <w:t xml:space="preserve">中标供应商也可采用电子履约保函（保险）形式提供履约担保,具体操作可登录江苏政府采购网的保险保函模块进行办理。</w:t>
      </w:r>
      <w:r>
        <w:rPr>
          <w:color w:val="auto"/>
          <w:highlight w:val="none"/>
        </w:rP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auto"/>
          <w:sz w:val="24"/>
          <w:szCs w:val="24"/>
          <w:highlight w:val="none"/>
        </w:rPr>
        <w:t xml:space="preserve">担。政府向社会公众提供的公共服务项目，验收时应当邀请服务对象参与并出具意见，验收结果应当向社会公告。</w:t>
      </w:r>
      <w:r>
        <w:rPr>
          <w:rFonts w:hint="eastAsia"/>
          <w:color w:val="auto"/>
          <w:sz w:val="24"/>
          <w:szCs w:val="24"/>
          <w:highlight w:val="none"/>
        </w:rPr>
        <w:t xml:space="preserve">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auto"/>
          <w:sz w:val="24"/>
          <w:szCs w:val="24"/>
          <w:highlight w:val="none"/>
        </w:rPr>
      </w:r>
      <w:r>
        <w:rPr>
          <w:color w:val="auto"/>
          <w:highlight w:val="none"/>
        </w:rP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rPr>
        <w:t xml:space="preserve">《中华人民共和国政府采购法》</w:t>
      </w:r>
      <w:r>
        <w:rPr>
          <w:rFonts w:hint="eastAsia" w:ascii="宋体" w:hAnsi="宋体"/>
          <w:bCs/>
          <w:color w:val="auto"/>
          <w:sz w:val="24"/>
          <w:highlight w:val="none"/>
        </w:rPr>
        <w:t xml:space="preserve">第七十七条第一款的规定追究法律责任。</w:t>
      </w:r>
      <w:r>
        <w:rPr>
          <w:rFonts w:hint="eastAsia" w:ascii="宋体"/>
          <w:bCs/>
          <w:color w:val="auto"/>
          <w:sz w:val="24"/>
          <w:szCs w:val="24"/>
          <w:highlight w:val="none"/>
        </w:rPr>
      </w:r>
      <w:r>
        <w:rPr>
          <w:color w:val="auto"/>
          <w:highlight w:val="none"/>
        </w:rP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p>
    <w:p>
      <w:pPr>
        <w:pStyle w:val="905"/>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auto"/>
          <w:sz w:val="24"/>
          <w:highlight w:val="none"/>
        </w:rPr>
      </w:r>
      <w:r>
        <w:rPr>
          <w:color w:val="auto"/>
          <w:highlight w:val="none"/>
        </w:rPr>
      </w:r>
    </w:p>
    <w:p>
      <w:pPr>
        <w:pStyle w:val="905"/>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rPr>
          <w:rFonts w:hint="eastAsia" w:ascii="宋体" w:hAnsi="宋体"/>
          <w:b/>
          <w:bCs/>
          <w:color w:val="auto"/>
          <w:sz w:val="30"/>
          <w:szCs w:val="30"/>
          <w:highlight w:val="none"/>
        </w:rPr>
      </w:r>
      <w:r>
        <w:rPr>
          <w:color w:val="auto"/>
          <w:highlight w:val="none"/>
        </w:rP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highlight w:val="none"/>
        </w:rP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highlight w:val="none"/>
        </w:rP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rPr>
          <w:color w:val="auto"/>
          <w:highlight w:val="none"/>
        </w:rP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auto"/>
          <w:sz w:val="24"/>
          <w:szCs w:val="24"/>
          <w:highlight w:val="none"/>
        </w:rPr>
      </w:r>
      <w:r>
        <w:rPr>
          <w:color w:val="auto"/>
          <w:highlight w:val="none"/>
        </w:rP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auto"/>
          <w:sz w:val="24"/>
          <w:szCs w:val="24"/>
          <w:highlight w:val="none"/>
        </w:rPr>
      </w:r>
      <w:r>
        <w:rPr>
          <w:color w:val="auto"/>
          <w:highlight w:val="none"/>
        </w:rP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auto"/>
          <w:sz w:val="24"/>
          <w:szCs w:val="24"/>
          <w:highlight w:val="none"/>
        </w:rPr>
      </w:r>
      <w:r>
        <w:rPr>
          <w:color w:val="auto"/>
          <w:highlight w:val="none"/>
        </w:rPr>
      </w:r>
    </w:p>
    <w:p>
      <w:pPr>
        <w:pStyle w:val="905"/>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auto"/>
          <w:sz w:val="24"/>
          <w:szCs w:val="24"/>
          <w:highlight w:val="none"/>
        </w:rPr>
      </w:r>
      <w:r>
        <w:rPr>
          <w:color w:val="auto"/>
          <w:highlight w:val="none"/>
        </w:rP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auto"/>
          <w:sz w:val="24"/>
          <w:szCs w:val="24"/>
          <w:highlight w:val="none"/>
        </w:rPr>
      </w:r>
      <w:r>
        <w:rPr>
          <w:color w:val="auto"/>
          <w:highlight w:val="none"/>
        </w:rP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auto"/>
          <w:sz w:val="24"/>
          <w:szCs w:val="24"/>
          <w:highlight w:val="none"/>
        </w:rPr>
        <w:t xml:space="preserve">《需求标准》详见财库〔2023〕29号、30号、31号、32号、33号、34号、35号。</w:t>
      </w:r>
      <w:r>
        <w:rPr>
          <w:rFonts w:hint="eastAsia" w:ascii="宋体" w:hAnsi="宋体" w:cs="宋体"/>
          <w:color w:val="auto"/>
          <w:sz w:val="24"/>
          <w:szCs w:val="24"/>
          <w:highlight w:val="none"/>
        </w:rPr>
        <w:t xml:space="preserve">在满足《需求标准》的</w:t>
      </w:r>
      <w:r>
        <w:rPr>
          <w:rFonts w:hint="eastAsia" w:ascii="宋体" w:hAnsi="宋体" w:cs="宋体"/>
          <w:color w:val="auto"/>
          <w:sz w:val="24"/>
          <w:szCs w:val="24"/>
          <w:highlight w:val="none"/>
        </w:rPr>
        <w:t xml:space="preserve">前提</w:t>
      </w:r>
      <w:r>
        <w:rPr>
          <w:rFonts w:hint="eastAsia" w:ascii="宋体" w:hAnsi="宋体" w:cs="宋体"/>
          <w:color w:val="auto"/>
          <w:sz w:val="24"/>
          <w:szCs w:val="24"/>
          <w:highlight w:val="none"/>
        </w:rPr>
        <w:t xml:space="preserve">下，如招标文件中有其他要求的，投标人应</w:t>
      </w:r>
      <w:r>
        <w:rPr>
          <w:rFonts w:hint="eastAsia" w:ascii="宋体" w:hAnsi="宋体" w:cs="宋体"/>
          <w:color w:val="auto"/>
          <w:sz w:val="24"/>
          <w:szCs w:val="24"/>
          <w:highlight w:val="none"/>
        </w:rPr>
        <w:t xml:space="preserve">满足</w:t>
      </w:r>
      <w:r>
        <w:rPr>
          <w:rFonts w:hint="eastAsia" w:ascii="宋体" w:hAnsi="宋体" w:cs="宋体"/>
          <w:color w:val="auto"/>
          <w:sz w:val="24"/>
          <w:szCs w:val="24"/>
          <w:highlight w:val="none"/>
        </w:rPr>
        <w:t xml:space="preserve">招标文件要求。</w:t>
      </w:r>
      <w:r>
        <w:rPr>
          <w:rFonts w:hint="eastAsia" w:ascii="宋体"/>
          <w:bCs/>
          <w:color w:val="auto"/>
          <w:sz w:val="24"/>
          <w:szCs w:val="24"/>
          <w:highlight w:val="none"/>
        </w:rPr>
        <w:t xml:space="preserve">采购人可在合同中约定</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w:t>
      </w:r>
      <w:r>
        <w:rPr>
          <w:rFonts w:hint="eastAsia" w:ascii="宋体"/>
          <w:bCs/>
          <w:color w:val="auto"/>
          <w:sz w:val="24"/>
          <w:szCs w:val="24"/>
          <w:highlight w:val="none"/>
        </w:rPr>
        <w:t xml:space="preserve">可</w:t>
      </w:r>
      <w:r>
        <w:rPr>
          <w:rFonts w:hint="eastAsia" w:ascii="宋体"/>
          <w:bCs/>
          <w:color w:val="auto"/>
          <w:sz w:val="24"/>
          <w:szCs w:val="24"/>
          <w:highlight w:val="none"/>
        </w:rPr>
        <w:t xml:space="preserve">对所提供的七种软硬件进行验收，必要时</w:t>
      </w:r>
      <w:r>
        <w:rPr>
          <w:rFonts w:hint="eastAsia" w:ascii="宋体"/>
          <w:bCs/>
          <w:color w:val="auto"/>
          <w:sz w:val="24"/>
          <w:szCs w:val="24"/>
          <w:highlight w:val="none"/>
        </w:rPr>
        <w:t xml:space="preserve">可以</w:t>
      </w:r>
      <w:r>
        <w:rPr>
          <w:rFonts w:hint="eastAsia" w:ascii="宋体"/>
          <w:bCs/>
          <w:color w:val="auto"/>
          <w:sz w:val="24"/>
          <w:szCs w:val="24"/>
          <w:highlight w:val="none"/>
        </w:rPr>
        <w:t xml:space="preserve">委托依法取得检测、认证资质的机构进行检测、认证。</w:t>
      </w:r>
      <w:r>
        <w:rPr>
          <w:rFonts w:hint="eastAsia" w:ascii="宋体"/>
          <w:bCs/>
          <w:color w:val="auto"/>
          <w:sz w:val="24"/>
          <w:szCs w:val="24"/>
          <w:highlight w:val="none"/>
        </w:rPr>
      </w:r>
      <w:r>
        <w:rPr>
          <w:color w:val="auto"/>
          <w:highlight w:val="none"/>
        </w:rP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r>
        <w:rPr>
          <w:rFonts w:hint="eastAsia" w:ascii="宋体"/>
          <w:bCs/>
          <w:color w:val="auto"/>
          <w:sz w:val="24"/>
          <w:szCs w:val="24"/>
          <w:highlight w:val="none"/>
        </w:rPr>
        <w:t xml:space="preserve">苏财办购〔2024〕1号</w:t>
      </w:r>
      <w:r>
        <w:rPr>
          <w:rFonts w:hint="eastAsia" w:ascii="宋体"/>
          <w:bCs/>
          <w:color w:val="auto"/>
          <w:sz w:val="24"/>
          <w:szCs w:val="24"/>
          <w:highlight w:val="none"/>
        </w:rPr>
        <w:t xml:space="preserve">相关</w:t>
      </w:r>
      <w:r>
        <w:rPr>
          <w:rFonts w:hint="eastAsia" w:ascii="宋体"/>
          <w:bCs/>
          <w:color w:val="auto"/>
          <w:sz w:val="24"/>
          <w:szCs w:val="24"/>
          <w:highlight w:val="none"/>
        </w:rPr>
        <w:t xml:space="preserve">要求</w:t>
      </w:r>
      <w:r>
        <w:rPr>
          <w:rFonts w:hint="eastAsia" w:ascii="宋体"/>
          <w:bCs/>
          <w:color w:val="auto"/>
          <w:sz w:val="24"/>
          <w:szCs w:val="24"/>
          <w:highlight w:val="none"/>
        </w:rPr>
        <w:t xml:space="preserve">，采购人应当严格按照政府采购法有关规定，在中标、成交通知书发出之日起30日内，按照采购文件确定的事项与中标、成交供应商签订政府采购合同</w:t>
      </w:r>
      <w:r>
        <w:rPr>
          <w:rFonts w:hint="eastAsia" w:ascii="宋体"/>
          <w:bCs/>
          <w:color w:val="auto"/>
          <w:sz w:val="24"/>
          <w:szCs w:val="24"/>
          <w:highlight w:val="none"/>
        </w:rPr>
        <w:t xml:space="preserve">。采购人因不可抗力原因迟延签订合同的，应当自不可抗力事由消除之日起7日内完成合同签订事宜。</w:t>
      </w:r>
      <w:r>
        <w:rPr>
          <w:rFonts w:hint="eastAsia" w:ascii="宋体"/>
          <w:bCs/>
          <w:color w:val="auto"/>
          <w:sz w:val="24"/>
          <w:szCs w:val="24"/>
          <w:highlight w:val="none"/>
        </w:rPr>
      </w:r>
      <w:r>
        <w:rPr>
          <w:color w:val="auto"/>
          <w:highlight w:val="none"/>
        </w:rP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auto"/>
          <w:sz w:val="24"/>
          <w:szCs w:val="24"/>
          <w:highlight w:val="none"/>
          <w:lang w:val="en"/>
        </w:rPr>
      </w:r>
      <w:r>
        <w:rPr>
          <w:color w:val="auto"/>
          <w:highlight w:val="none"/>
        </w:rP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w:t>
      </w:r>
      <w:r>
        <w:rPr>
          <w:rFonts w:hint="eastAsia" w:ascii="宋体"/>
          <w:bCs/>
          <w:color w:val="auto"/>
          <w:sz w:val="24"/>
          <w:szCs w:val="24"/>
          <w:highlight w:val="none"/>
          <w:lang w:val="en"/>
        </w:rPr>
        <w:t xml:space="preserve">个工作日内将资金支付到合同约定的供应商账户</w:t>
      </w:r>
      <w:r>
        <w:rPr>
          <w:rFonts w:hint="eastAsia" w:ascii="宋体"/>
          <w:bCs/>
          <w:color w:val="auto"/>
          <w:sz w:val="24"/>
          <w:szCs w:val="24"/>
          <w:highlight w:val="none"/>
          <w:lang w:val="en"/>
        </w:rPr>
        <w:t xml:space="preserve">。</w:t>
      </w:r>
      <w:r>
        <w:rPr>
          <w:rFonts w:hint="eastAsia" w:ascii="宋体"/>
          <w:bCs/>
          <w:color w:val="auto"/>
          <w:sz w:val="24"/>
          <w:szCs w:val="24"/>
          <w:highlight w:val="none"/>
          <w:lang w:val="en"/>
        </w:rPr>
      </w:r>
      <w:r>
        <w:rPr>
          <w:color w:val="auto"/>
          <w:highlight w:val="none"/>
        </w:rP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color w:val="auto"/>
          <w:sz w:val="24"/>
          <w:szCs w:val="24"/>
          <w:highlight w:val="none"/>
          <w:lang w:val="en"/>
        </w:rPr>
      </w:r>
      <w:r>
        <w:rPr>
          <w:color w:val="auto"/>
          <w:highlight w:val="none"/>
        </w:rP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bookmarkStart w:id="204" w:name="OLE_LINK1"/>
      <w:r>
        <w:rPr>
          <w:color w:val="auto"/>
          <w:highlight w:val="none"/>
        </w:rPr>
      </w:r>
      <w:bookmarkStart w:id="205" w:name="OLE_LINK2"/>
      <w:r>
        <w:rPr>
          <w:rFonts w:hint="eastAsia" w:ascii="宋体"/>
          <w:bCs/>
          <w:color w:val="auto"/>
          <w:sz w:val="24"/>
          <w:szCs w:val="24"/>
          <w:highlight w:val="none"/>
        </w:rPr>
        <w:t xml:space="preserve">《保障中小企业款项支付条例》（中华人民共和国国务院令第802号）</w:t>
      </w:r>
      <w:bookmarkEnd w:id="204"/>
      <w:r>
        <w:rPr>
          <w:color w:val="auto"/>
          <w:highlight w:val="none"/>
        </w:rPr>
      </w:r>
      <w:bookmarkEnd w:id="205"/>
      <w:r>
        <w:rPr>
          <w:rFonts w:hint="eastAsia" w:ascii="宋体"/>
          <w:bCs/>
          <w:color w:val="auto"/>
          <w:sz w:val="24"/>
          <w:szCs w:val="24"/>
          <w:highlight w:val="none"/>
        </w:rPr>
        <w:t xml:space="preserve">，机关、事业单位和大型企业不得要求中小企业接受不合理的付款期限、方式、条件和违约责任等交易条件，不得拖欠中小企业的货物、工程、服务款项。</w:t>
      </w:r>
      <w:r>
        <w:rPr>
          <w:color w:val="auto"/>
          <w:highlight w:val="none"/>
        </w:rP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rPr>
          <w:color w:val="auto"/>
          <w:highlight w:val="none"/>
        </w:rP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中小企业应当依法经营，诚实守信，按照合同约定提供合格的货物、工程和服务。</w:t>
      </w:r>
      <w:r>
        <w:rPr>
          <w:color w:val="auto"/>
          <w:highlight w:val="none"/>
        </w:rP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机关、事业单位和大型企业采购货物、工程、服务支付中小企业款项，应当遵守《保障中小企业款项支付条例》（中华人民共和国国务院令第802号）。</w:t>
      </w:r>
      <w:r>
        <w:rPr>
          <w:rFonts w:hint="eastAsia" w:ascii="宋体"/>
          <w:bCs/>
          <w:color w:val="auto"/>
          <w:sz w:val="24"/>
          <w:szCs w:val="24"/>
          <w:highlight w:val="none"/>
          <w:lang w:val="en"/>
        </w:rPr>
      </w:r>
      <w:r>
        <w:rPr>
          <w:color w:val="auto"/>
          <w:highlight w:val="none"/>
        </w:rPr>
      </w:r>
    </w:p>
    <w:p>
      <w:pPr>
        <w:pStyle w:val="905"/>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根据《关于推动解决政府采购异常低价问题相关工作的通知》（苏财购〔2025〕62号）要求，</w:t>
      </w:r>
      <w:r>
        <w:rPr>
          <w:rFonts w:hint="eastAsia" w:ascii="宋体"/>
          <w:bCs/>
          <w:color w:val="auto"/>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rPr>
          <w:rFonts w:hint="eastAsia" w:ascii="宋体"/>
          <w:bCs/>
          <w:color w:val="auto"/>
          <w:sz w:val="24"/>
          <w:szCs w:val="24"/>
          <w:highlight w:val="none"/>
        </w:rPr>
      </w:r>
      <w:r>
        <w:rPr>
          <w:color w:val="auto"/>
          <w:highlight w:val="none"/>
        </w:rPr>
      </w:r>
    </w:p>
    <w:p>
      <w:pPr>
        <w:pStyle w:val="905"/>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r>
      <w:r>
        <w:rPr>
          <w:color w:val="auto"/>
          <w:highlight w:val="none"/>
        </w:rPr>
      </w:r>
    </w:p>
    <w:p>
      <w:pPr>
        <w:pStyle w:val="905"/>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bCs/>
          <w:color w:val="auto"/>
          <w:sz w:val="24"/>
          <w:szCs w:val="24"/>
          <w:highlight w:val="none"/>
        </w:rPr>
        <w:br w:type="page" w:clear="all"/>
      </w:r>
      <w:bookmarkStart w:id="206" w:name="_Toc120614281"/>
      <w:r>
        <w:rPr>
          <w:rFonts w:hint="eastAsia" w:ascii="黑体" w:hAnsi="黑体" w:eastAsia="黑体"/>
          <w:color w:val="auto"/>
          <w:sz w:val="36"/>
          <w:szCs w:val="36"/>
          <w:highlight w:val="none"/>
        </w:rPr>
        <w:t xml:space="preserve">第五章  评标方法与评标标准</w:t>
      </w:r>
      <w:r>
        <w:rPr>
          <w:color w:val="auto"/>
          <w:highlight w:val="none"/>
        </w:rPr>
      </w:r>
    </w:p>
    <w:p>
      <w:pPr>
        <w:pStyle w:val="993"/>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rPr>
          <w:color w:val="auto"/>
          <w:highlight w:val="none"/>
        </w:rPr>
      </w:r>
    </w:p>
    <w:p>
      <w:pPr>
        <w:pStyle w:val="993"/>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rPr>
          <w:color w:val="auto"/>
          <w:highlight w:val="none"/>
        </w:rPr>
      </w:r>
    </w:p>
    <w:p>
      <w:pPr>
        <w:pStyle w:val="993"/>
        <w:spacing w:before="0" w:after="0" w:line="500" w:lineRule="exact"/>
        <w:rPr>
          <w:rFonts w:hint="eastAsia" w:cs="Arial"/>
          <w:color w:val="auto"/>
          <w:highlight w:val="none"/>
        </w:rPr>
      </w:pPr>
      <w:r>
        <w:rPr>
          <w:rFonts w:hint="eastAsia" w:cs="Arial"/>
          <w:color w:val="auto"/>
          <w:highlight w:val="none"/>
        </w:rPr>
        <w:t xml:space="preserve">比较与评价采用综合评分法。</w:t>
      </w:r>
      <w:r>
        <w:rPr>
          <w:color w:val="auto"/>
          <w:highlight w:val="none"/>
        </w:rPr>
      </w:r>
    </w:p>
    <w:p>
      <w:pPr>
        <w:pStyle w:val="993"/>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rPr>
        <w:t xml:space="preserve">得分相同且投标</w:t>
      </w:r>
      <w:r>
        <w:rPr>
          <w:rFonts w:hint="eastAsia" w:ascii="宋体" w:hAnsi="宋体"/>
          <w:bCs/>
          <w:color w:val="auto"/>
          <w:highlight w:val="none"/>
        </w:rPr>
        <w:t xml:space="preserve">报价相同的并列。投标文件满足招标文件全部实质性要求，且按照评审因素的量化指标评审得分最高的投标人排名第</w:t>
      </w:r>
      <w:r>
        <w:rPr>
          <w:rFonts w:hint="eastAsia" w:ascii="宋体" w:hAnsi="宋体"/>
          <w:bCs/>
          <w:color w:val="auto"/>
          <w:highlight w:val="none"/>
        </w:rPr>
        <w:t xml:space="preserve">一，以此类推，按排名先后顺序选取3名中标候选人。</w:t>
      </w:r>
      <w:r>
        <w:rPr>
          <w:rFonts w:hint="eastAsia" w:ascii="宋体" w:hAnsi="宋体"/>
          <w:bCs/>
          <w:color w:val="auto"/>
          <w:highlight w:val="none"/>
        </w:rPr>
      </w:r>
      <w:r>
        <w:rPr>
          <w:color w:val="auto"/>
          <w:highlight w:val="none"/>
        </w:rPr>
      </w:r>
    </w:p>
    <w:p>
      <w:pPr>
        <w:pStyle w:val="993"/>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auto"/>
          <w:highlight w:val="none"/>
        </w:rPr>
      </w:r>
    </w:p>
    <w:p>
      <w:pPr>
        <w:pStyle w:val="993"/>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rPr>
          <w:color w:val="auto"/>
          <w:highlight w:val="none"/>
        </w:rPr>
      </w:r>
    </w:p>
    <w:p>
      <w:pPr>
        <w:pStyle w:val="993"/>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rPr>
          <w:color w:val="auto"/>
          <w:highlight w:val="none"/>
        </w:rPr>
      </w:r>
    </w:p>
    <w:p>
      <w:pPr>
        <w:pStyle w:val="905"/>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rPr>
          <w:color w:val="auto"/>
          <w:highlight w:val="none"/>
        </w:rPr>
      </w:r>
    </w:p>
    <w:p>
      <w:pPr>
        <w:pStyle w:val="905"/>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rPr>
          <w:rFonts w:ascii="宋体" w:hAnsi="宋体"/>
          <w:bCs/>
          <w:color w:val="auto"/>
          <w:sz w:val="24"/>
          <w:szCs w:val="24"/>
          <w:highlight w:val="none"/>
        </w:rPr>
      </w:r>
      <w:r>
        <w:rPr>
          <w:color w:val="auto"/>
          <w:highlight w:val="none"/>
        </w:rPr>
      </w:r>
    </w:p>
    <w:p>
      <w:pPr>
        <w:pStyle w:val="905"/>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auto"/>
          <w:sz w:val="24"/>
          <w:szCs w:val="24"/>
          <w:highlight w:val="none"/>
        </w:rPr>
      </w:r>
      <w:r>
        <w:rPr>
          <w:color w:val="auto"/>
          <w:highlight w:val="none"/>
        </w:rPr>
      </w:r>
    </w:p>
    <w:p>
      <w:pPr>
        <w:pStyle w:val="905"/>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auto"/>
          <w:sz w:val="24"/>
          <w:szCs w:val="24"/>
          <w:highlight w:val="none"/>
        </w:rPr>
      </w:r>
      <w:r>
        <w:rPr>
          <w:color w:val="auto"/>
          <w:highlight w:val="none"/>
        </w:rPr>
      </w:r>
    </w:p>
    <w:p>
      <w:pPr>
        <w:pStyle w:val="905"/>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rPr>
          <w:color w:val="auto"/>
          <w:highlight w:val="none"/>
        </w:rPr>
      </w:r>
    </w:p>
    <w:p>
      <w:pPr>
        <w:pStyle w:val="905"/>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rPr>
          <w:rFonts w:ascii="宋体" w:hAnsi="宋体"/>
          <w:bCs/>
          <w:color w:val="auto"/>
          <w:sz w:val="24"/>
          <w:szCs w:val="24"/>
          <w:highlight w:val="none"/>
        </w:rPr>
      </w:r>
      <w:r>
        <w:rPr>
          <w:color w:val="auto"/>
          <w:highlight w:val="none"/>
        </w:rPr>
      </w:r>
    </w:p>
    <w:p>
      <w:pPr>
        <w:pStyle w:val="905"/>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05"/>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rPr>
          <w:color w:val="auto"/>
          <w:highlight w:val="none"/>
        </w:rPr>
      </w:r>
    </w:p>
    <w:p>
      <w:pPr>
        <w:pStyle w:val="993"/>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rPr>
          <w:rFonts w:hint="eastAsia" w:ascii="宋体" w:hAnsi="宋体"/>
          <w:color w:val="auto"/>
          <w:highlight w:val="none"/>
          <w:shd w:val="clear" w:color="ffffff" w:fill="d9d9d9"/>
        </w:rPr>
      </w:r>
      <w:r>
        <w:rPr>
          <w:color w:val="auto"/>
          <w:highlight w:val="none"/>
        </w:rPr>
      </w:r>
    </w:p>
    <w:p>
      <w:pPr>
        <w:pStyle w:val="905"/>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10</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05"/>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auto"/>
          <w:sz w:val="24"/>
          <w:szCs w:val="24"/>
          <w:highlight w:val="none"/>
        </w:rPr>
      </w:r>
      <w:r>
        <w:rPr>
          <w:color w:val="auto"/>
          <w:highlight w:val="none"/>
        </w:rPr>
      </w:r>
    </w:p>
    <w:p>
      <w:pPr>
        <w:pStyle w:val="905"/>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rFonts w:ascii="宋体"/>
          <w:bCs/>
          <w:color w:val="auto"/>
          <w:sz w:val="24"/>
          <w:szCs w:val="24"/>
          <w:highlight w:val="none"/>
        </w:rPr>
      </w:r>
      <w:r>
        <w:rPr>
          <w:color w:val="auto"/>
          <w:highlight w:val="none"/>
        </w:rPr>
      </w:r>
    </w:p>
    <w:p>
      <w:pPr>
        <w:pStyle w:val="905"/>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rFonts w:hint="eastAsia" w:ascii="宋体" w:hAnsi="宋体"/>
          <w:bCs/>
          <w:color w:val="auto"/>
          <w:sz w:val="24"/>
          <w:szCs w:val="24"/>
          <w:highlight w:val="none"/>
        </w:rPr>
      </w:r>
      <w:r>
        <w:rPr>
          <w:color w:val="auto"/>
          <w:highlight w:val="none"/>
        </w:rPr>
      </w:r>
    </w:p>
    <w:p>
      <w:pPr>
        <w:pStyle w:val="905"/>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项目人员配置情况（</w:t>
      </w:r>
      <w:r>
        <w:rPr>
          <w:rFonts w:hint="eastAsia" w:ascii="宋体" w:hAnsi="宋体"/>
          <w:b/>
          <w:bCs/>
          <w:color w:val="auto"/>
          <w:sz w:val="24"/>
          <w:szCs w:val="24"/>
          <w:highlight w:val="none"/>
        </w:rPr>
        <w:t xml:space="preserve">7</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hint="eastAsia" w:ascii="宋体" w:hAnsi="宋体"/>
          <w:bCs/>
          <w:color w:val="auto"/>
          <w:sz w:val="24"/>
          <w:szCs w:val="24"/>
          <w:highlight w:val="none"/>
        </w:rPr>
        <w:t xml:space="preserve">以下岗位人员不得兼任。</w:t>
      </w:r>
      <w:r>
        <w:rPr>
          <w:rFonts w:ascii="宋体" w:hAnsi="宋体"/>
          <w:b/>
          <w:bCs/>
          <w:color w:val="auto"/>
          <w:sz w:val="24"/>
          <w:szCs w:val="24"/>
          <w:highlight w:val="none"/>
        </w:rPr>
      </w:r>
      <w:r>
        <w:rPr>
          <w:color w:val="auto"/>
          <w:highlight w:val="none"/>
        </w:rPr>
      </w:r>
    </w:p>
    <w:p>
      <w:pPr>
        <w:pStyle w:val="905"/>
        <w:ind w:firstLine="480"/>
        <w:spacing w:line="500" w:lineRule="exact"/>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2.1  项目负责人的计算机技术与软件专业技术资格（1分）：投标人为本项目配备一名项目负责人，该项目负责人具有信息系统项目管理师证书的得1分，若提供系统集成项目管理工程师证书的则得0.5分，本项最高1分，不重复得分；须提供相应有效证书证明材料。</w:t>
      </w:r>
      <w:r>
        <w:rPr>
          <w:color w:val="auto"/>
          <w:highlight w:val="none"/>
        </w:rPr>
      </w:r>
    </w:p>
    <w:p>
      <w:pPr>
        <w:pStyle w:val="905"/>
        <w:ind w:firstLine="480"/>
        <w:spacing w:line="500" w:lineRule="exact"/>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2.2  项目负责人的职称证书（</w:t>
      </w:r>
      <w:r>
        <w:rPr>
          <w:rFonts w:hint="eastAsia" w:ascii="宋体" w:hAnsi="宋体" w:cs="楷体"/>
          <w:color w:val="auto"/>
          <w:sz w:val="24"/>
          <w:szCs w:val="28"/>
          <w:highlight w:val="none"/>
        </w:rPr>
        <w:t xml:space="preserve">1分</w:t>
      </w:r>
      <w:r>
        <w:rPr>
          <w:rFonts w:hint="eastAsia" w:ascii="宋体" w:hAnsi="宋体" w:cs="楷体"/>
          <w:color w:val="auto"/>
          <w:sz w:val="24"/>
          <w:szCs w:val="28"/>
          <w:highlight w:val="none"/>
        </w:rPr>
        <w:t xml:space="preserve">）：投标人为本项目配备</w:t>
      </w:r>
      <w:r>
        <w:rPr>
          <w:rFonts w:hint="eastAsia" w:ascii="宋体" w:hAnsi="宋体" w:cs="楷体"/>
          <w:color w:val="auto"/>
          <w:sz w:val="24"/>
          <w:szCs w:val="28"/>
          <w:highlight w:val="none"/>
        </w:rPr>
        <w:t xml:space="preserve">的</w:t>
      </w:r>
      <w:r>
        <w:rPr>
          <w:rFonts w:hint="eastAsia" w:ascii="宋体" w:hAnsi="宋体" w:cs="楷体"/>
          <w:color w:val="auto"/>
          <w:sz w:val="24"/>
          <w:szCs w:val="28"/>
          <w:highlight w:val="none"/>
        </w:rPr>
        <w:t xml:space="preserve">该项目负责人具有（电子信息工程类或信息系统类专业）高级</w:t>
      </w:r>
      <w:r>
        <w:rPr>
          <w:rFonts w:hint="eastAsia" w:ascii="宋体" w:hAnsi="宋体" w:cs="楷体"/>
          <w:color w:val="auto"/>
          <w:sz w:val="24"/>
          <w:szCs w:val="28"/>
          <w:highlight w:val="none"/>
        </w:rPr>
        <w:t xml:space="preserve">（或以上）</w:t>
      </w:r>
      <w:r>
        <w:rPr>
          <w:rFonts w:hint="eastAsia" w:ascii="宋体" w:hAnsi="宋体" w:cs="楷体"/>
          <w:color w:val="auto"/>
          <w:sz w:val="24"/>
          <w:szCs w:val="28"/>
          <w:highlight w:val="none"/>
        </w:rPr>
        <w:t xml:space="preserve">工程师职称证书的得1分，若提供（电子信息工程类或信息系统类专业）工程师职称证书的则得0.5分，本项最高1分，不重复得分</w:t>
      </w:r>
      <w:r>
        <w:rPr>
          <w:rFonts w:hint="eastAsia" w:ascii="宋体" w:hAnsi="宋体" w:cs="楷体"/>
          <w:color w:val="auto"/>
          <w:sz w:val="24"/>
          <w:szCs w:val="28"/>
          <w:highlight w:val="none"/>
        </w:rPr>
        <w:t xml:space="preserve">；须提供相应有效证书证明材料。</w:t>
      </w:r>
      <w:r>
        <w:rPr>
          <w:rFonts w:hint="eastAsia" w:ascii="宋体" w:hAnsi="宋体" w:cs="楷体"/>
          <w:color w:val="auto"/>
          <w:sz w:val="24"/>
          <w:szCs w:val="28"/>
          <w:highlight w:val="none"/>
        </w:rPr>
      </w:r>
      <w:r>
        <w:rPr>
          <w:color w:val="auto"/>
          <w:highlight w:val="none"/>
        </w:rPr>
      </w:r>
    </w:p>
    <w:p>
      <w:pPr>
        <w:pStyle w:val="905"/>
        <w:ind w:firstLine="480"/>
        <w:spacing w:line="500" w:lineRule="exact"/>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2.3  技术负责人（1分）：投标人为本项目配备一名技术负责人（与项目负责人不能是同一人），该技术负责人具有（电子信息工程类或信息系统类专业）高级</w:t>
      </w:r>
      <w:r>
        <w:rPr>
          <w:rFonts w:hint="eastAsia" w:ascii="宋体" w:hAnsi="宋体" w:cs="楷体"/>
          <w:color w:val="auto"/>
          <w:sz w:val="24"/>
          <w:szCs w:val="28"/>
          <w:highlight w:val="none"/>
        </w:rPr>
        <w:t xml:space="preserve">（或以上）</w:t>
      </w:r>
      <w:r>
        <w:rPr>
          <w:rFonts w:hint="eastAsia" w:ascii="宋体" w:hAnsi="宋体" w:cs="楷体"/>
          <w:color w:val="auto"/>
          <w:sz w:val="24"/>
          <w:szCs w:val="28"/>
          <w:highlight w:val="none"/>
        </w:rPr>
        <w:t xml:space="preserve">工程师职称证书的得1分，若提供（电子信息工程类或信息系统类专业）工程师职称证书的则得0.5分，本项最高1分，不重复得分；</w:t>
      </w:r>
      <w:bookmarkStart w:id="207" w:name="OLE_LINK3"/>
      <w:r>
        <w:rPr>
          <w:color w:val="auto"/>
          <w:highlight w:val="none"/>
        </w:rPr>
      </w:r>
      <w:bookmarkStart w:id="208" w:name="OLE_LINK4"/>
      <w:r>
        <w:rPr>
          <w:rFonts w:hint="eastAsia" w:ascii="宋体" w:hAnsi="宋体" w:cs="楷体"/>
          <w:color w:val="auto"/>
          <w:sz w:val="24"/>
          <w:szCs w:val="28"/>
          <w:highlight w:val="none"/>
        </w:rPr>
        <w:t xml:space="preserve">须提供相应有效证书证明材料。</w:t>
      </w:r>
      <w:bookmarkEnd w:id="207"/>
      <w:r>
        <w:rPr>
          <w:color w:val="auto"/>
          <w:highlight w:val="none"/>
        </w:rPr>
      </w:r>
      <w:bookmarkEnd w:id="208"/>
      <w:r>
        <w:rPr>
          <w:rFonts w:hint="eastAsia" w:ascii="宋体" w:hAnsi="宋体" w:cs="楷体"/>
          <w:color w:val="auto"/>
          <w:sz w:val="24"/>
          <w:szCs w:val="28"/>
          <w:highlight w:val="none"/>
        </w:rPr>
      </w:r>
      <w:r>
        <w:rPr>
          <w:color w:val="auto"/>
          <w:highlight w:val="none"/>
        </w:rPr>
      </w:r>
    </w:p>
    <w:p>
      <w:pPr>
        <w:pStyle w:val="905"/>
        <w:ind w:firstLine="480"/>
        <w:spacing w:line="500" w:lineRule="exact"/>
        <w:rPr>
          <w:rFonts w:hint="eastAsia" w:ascii="宋体" w:hAnsi="宋体" w:cs="楷体"/>
          <w:color w:val="auto"/>
          <w:sz w:val="24"/>
          <w:szCs w:val="28"/>
          <w:highlight w:val="none"/>
        </w:rPr>
      </w:pPr>
      <w:r>
        <w:rPr>
          <w:rFonts w:hint="eastAsia" w:ascii="宋体" w:hAnsi="宋体" w:cs="楷体"/>
          <w:color w:val="auto"/>
          <w:sz w:val="24"/>
          <w:szCs w:val="28"/>
          <w:highlight w:val="none"/>
        </w:rPr>
        <w:t xml:space="preserve">2.4  项目成员（</w:t>
      </w:r>
      <w:r>
        <w:rPr>
          <w:rFonts w:hint="eastAsia" w:ascii="宋体" w:hAnsi="宋体" w:cs="楷体"/>
          <w:color w:val="auto"/>
          <w:sz w:val="24"/>
          <w:szCs w:val="28"/>
          <w:highlight w:val="none"/>
        </w:rPr>
        <w:t xml:space="preserve">4</w:t>
      </w:r>
      <w:r>
        <w:rPr>
          <w:rFonts w:hint="eastAsia" w:ascii="宋体" w:hAnsi="宋体" w:cs="楷体"/>
          <w:color w:val="auto"/>
          <w:sz w:val="24"/>
          <w:szCs w:val="28"/>
          <w:highlight w:val="none"/>
        </w:rPr>
        <w:t xml:space="preserve">分）：除上述项目负责人以及技术负责人外，项目成员具有（计算机类或电子信息工程类或数据库类专业）工程师（或以上等级）职称证书的，每有一人得</w:t>
      </w:r>
      <w:r>
        <w:rPr>
          <w:rFonts w:hint="eastAsia" w:ascii="宋体" w:hAnsi="宋体" w:cs="楷体"/>
          <w:color w:val="auto"/>
          <w:sz w:val="24"/>
          <w:szCs w:val="28"/>
          <w:highlight w:val="none"/>
        </w:rPr>
        <w:t xml:space="preserve">0.5</w:t>
      </w:r>
      <w:r>
        <w:rPr>
          <w:rFonts w:hint="eastAsia" w:ascii="宋体" w:hAnsi="宋体" w:cs="楷体"/>
          <w:color w:val="auto"/>
          <w:sz w:val="24"/>
          <w:szCs w:val="28"/>
          <w:highlight w:val="none"/>
        </w:rPr>
        <w:t xml:space="preserve">分，最高</w:t>
      </w:r>
      <w:r>
        <w:rPr>
          <w:rFonts w:hint="eastAsia" w:ascii="宋体" w:hAnsi="宋体" w:cs="楷体"/>
          <w:color w:val="auto"/>
          <w:sz w:val="24"/>
          <w:szCs w:val="28"/>
          <w:highlight w:val="none"/>
        </w:rPr>
        <w:t xml:space="preserve">2</w:t>
      </w:r>
      <w:r>
        <w:rPr>
          <w:rFonts w:hint="eastAsia" w:ascii="宋体" w:hAnsi="宋体" w:cs="楷体"/>
          <w:color w:val="auto"/>
          <w:sz w:val="24"/>
          <w:szCs w:val="28"/>
          <w:highlight w:val="none"/>
        </w:rPr>
        <w:t xml:space="preserve">分；具有高级能源管理证书的得1分</w:t>
      </w:r>
      <w:r>
        <w:rPr>
          <w:rFonts w:hint="eastAsia" w:ascii="宋体" w:hAnsi="宋体" w:cs="楷体"/>
          <w:color w:val="auto"/>
          <w:sz w:val="24"/>
          <w:szCs w:val="28"/>
          <w:highlight w:val="none"/>
        </w:rPr>
        <w:t xml:space="preserve">；</w:t>
      </w:r>
      <w:r>
        <w:rPr>
          <w:rFonts w:hint="eastAsia" w:ascii="宋体" w:hAnsi="宋体" w:cs="楷体"/>
          <w:color w:val="auto"/>
          <w:sz w:val="24"/>
          <w:szCs w:val="28"/>
          <w:highlight w:val="none"/>
        </w:rPr>
        <w:t xml:space="preserve">具有能源审计评估师（高级）证书的得1分；同一人具有上述多种证书的不重复得分</w:t>
      </w:r>
      <w:r>
        <w:rPr>
          <w:rFonts w:hint="eastAsia" w:ascii="宋体" w:hAnsi="宋体" w:cs="楷体"/>
          <w:color w:val="auto"/>
          <w:sz w:val="24"/>
          <w:szCs w:val="28"/>
          <w:highlight w:val="none"/>
        </w:rPr>
        <w:t xml:space="preserve">，同一种类的证书也不重复得分</w:t>
      </w:r>
      <w:r>
        <w:rPr>
          <w:rFonts w:hint="eastAsia" w:ascii="宋体" w:hAnsi="宋体" w:cs="楷体"/>
          <w:color w:val="auto"/>
          <w:sz w:val="24"/>
          <w:szCs w:val="28"/>
          <w:highlight w:val="none"/>
        </w:rPr>
        <w:t xml:space="preserve">。</w:t>
      </w:r>
      <w:r>
        <w:rPr>
          <w:rFonts w:hint="eastAsia" w:ascii="宋体" w:hAnsi="宋体" w:cs="楷体"/>
          <w:color w:val="auto"/>
          <w:sz w:val="24"/>
          <w:szCs w:val="28"/>
          <w:highlight w:val="none"/>
        </w:rPr>
        <w:t xml:space="preserve">须提供相应有效证书证明材料。</w:t>
      </w:r>
      <w:r>
        <w:rPr>
          <w:rFonts w:hint="eastAsia" w:ascii="宋体" w:hAnsi="宋体" w:cs="楷体"/>
          <w:color w:val="auto"/>
          <w:sz w:val="24"/>
          <w:szCs w:val="28"/>
          <w:highlight w:val="none"/>
        </w:rPr>
      </w:r>
      <w:r>
        <w:rPr>
          <w:color w:val="auto"/>
          <w:highlight w:val="none"/>
        </w:rPr>
      </w:r>
    </w:p>
    <w:p>
      <w:pPr>
        <w:pStyle w:val="905"/>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w:t>
      </w:r>
      <w:r>
        <w:rPr>
          <w:rFonts w:hint="eastAsia" w:ascii="宋体" w:hAnsi="宋体"/>
          <w:b/>
          <w:bCs/>
          <w:color w:val="auto"/>
          <w:sz w:val="24"/>
          <w:szCs w:val="24"/>
          <w:highlight w:val="none"/>
        </w:rPr>
        <w:t xml:space="preserve">12</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05"/>
        <w:ind w:firstLine="480"/>
        <w:spacing w:line="500" w:lineRule="exact"/>
        <w:rPr>
          <w:rFonts w:ascii="宋体" w:hAnsi="宋体"/>
          <w:color w:val="auto"/>
          <w:sz w:val="24"/>
          <w:highlight w:val="none"/>
        </w:rPr>
      </w:pPr>
      <w:r>
        <w:rPr>
          <w:rFonts w:hint="eastAsia" w:ascii="宋体" w:hAnsi="宋体"/>
          <w:color w:val="auto"/>
          <w:sz w:val="24"/>
          <w:highlight w:val="none"/>
        </w:rPr>
        <w:t xml:space="preserve">3.1  </w:t>
      </w:r>
      <w:r>
        <w:rPr>
          <w:rFonts w:hint="eastAsia" w:ascii="宋体" w:hAnsi="宋体"/>
          <w:color w:val="auto"/>
          <w:sz w:val="24"/>
          <w:highlight w:val="none"/>
        </w:rPr>
        <w:t xml:space="preserve">业绩（6分）：</w:t>
      </w:r>
      <w:r>
        <w:rPr>
          <w:rFonts w:hint="eastAsia" w:ascii="宋体" w:hAnsi="宋体"/>
          <w:color w:val="auto"/>
          <w:sz w:val="24"/>
          <w:highlight w:val="none"/>
        </w:rPr>
        <w:t xml:space="preserve">投标人</w:t>
      </w:r>
      <w:r>
        <w:rPr>
          <w:rFonts w:hint="eastAsia" w:ascii="宋体" w:hAnsi="宋体"/>
          <w:color w:val="auto"/>
          <w:sz w:val="24"/>
          <w:highlight w:val="none"/>
        </w:rPr>
        <w:t xml:space="preserve">自</w:t>
      </w:r>
      <w:r>
        <w:rPr>
          <w:rFonts w:hint="eastAsia" w:ascii="宋体" w:hAnsi="宋体"/>
          <w:color w:val="auto"/>
          <w:sz w:val="24"/>
          <w:highlight w:val="none"/>
        </w:rPr>
        <w:t xml:space="preserve">2022年1月1日以来</w:t>
      </w:r>
      <w:r>
        <w:rPr>
          <w:rFonts w:hint="eastAsia" w:ascii="宋体" w:hAnsi="宋体"/>
          <w:color w:val="auto"/>
          <w:sz w:val="24"/>
          <w:highlight w:val="none"/>
        </w:rPr>
        <w:t xml:space="preserve">（以合同签订日期为准）具有与本项目同类项目案例的</w:t>
      </w:r>
      <w:r>
        <w:rPr>
          <w:rFonts w:hint="eastAsia" w:ascii="宋体" w:hAnsi="宋体"/>
          <w:color w:val="auto"/>
          <w:sz w:val="24"/>
          <w:highlight w:val="none"/>
        </w:rPr>
        <w:t xml:space="preserve">，</w:t>
      </w:r>
      <w:r>
        <w:rPr>
          <w:rFonts w:hint="eastAsia" w:ascii="宋体" w:hAnsi="宋体"/>
          <w:color w:val="auto"/>
          <w:sz w:val="24"/>
          <w:highlight w:val="none"/>
        </w:rPr>
        <w:t xml:space="preserve">每有一个得2分，最高6分；须提供相应有效合同扫描件（提供</w:t>
      </w:r>
      <w:r>
        <w:rPr>
          <w:rFonts w:hint="eastAsia" w:ascii="宋体" w:hAnsi="宋体" w:cs="楷体"/>
          <w:color w:val="auto"/>
          <w:sz w:val="24"/>
          <w:szCs w:val="28"/>
          <w:highlight w:val="none"/>
        </w:rPr>
        <w:t xml:space="preserve">合同首页、关键内容页及合同签署页</w:t>
      </w:r>
      <w:r>
        <w:rPr>
          <w:rFonts w:hint="eastAsia" w:ascii="宋体" w:hAnsi="宋体"/>
          <w:color w:val="auto"/>
          <w:sz w:val="24"/>
          <w:highlight w:val="none"/>
        </w:rPr>
        <w:t xml:space="preserve">）。</w:t>
      </w:r>
      <w:r>
        <w:rPr>
          <w:rFonts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3.2  </w:t>
      </w:r>
      <w:r>
        <w:rPr>
          <w:rFonts w:hint="eastAsia" w:ascii="宋体" w:hAnsi="宋体"/>
          <w:color w:val="auto"/>
          <w:sz w:val="24"/>
          <w:highlight w:val="none"/>
        </w:rPr>
        <w:t xml:space="preserve">软著证书（</w:t>
      </w:r>
      <w:r>
        <w:rPr>
          <w:rFonts w:hint="eastAsia" w:ascii="宋体" w:hAnsi="宋体"/>
          <w:color w:val="auto"/>
          <w:sz w:val="24"/>
          <w:highlight w:val="none"/>
        </w:rPr>
        <w:t xml:space="preserve">3</w:t>
      </w:r>
      <w:r>
        <w:rPr>
          <w:rFonts w:hint="eastAsia" w:ascii="宋体" w:hAnsi="宋体"/>
          <w:color w:val="auto"/>
          <w:sz w:val="24"/>
          <w:highlight w:val="none"/>
        </w:rPr>
        <w:t xml:space="preserve">分）：投标人具有与能源管理方面相关软件的软件著作权登记证书的，每有一个得0.5分，最高</w:t>
      </w:r>
      <w:r>
        <w:rPr>
          <w:rFonts w:hint="eastAsia" w:ascii="宋体" w:hAnsi="宋体"/>
          <w:color w:val="auto"/>
          <w:sz w:val="24"/>
          <w:highlight w:val="none"/>
        </w:rPr>
        <w:t xml:space="preserve">3</w:t>
      </w:r>
      <w:r>
        <w:rPr>
          <w:rFonts w:hint="eastAsia" w:ascii="宋体" w:hAnsi="宋体"/>
          <w:color w:val="auto"/>
          <w:sz w:val="24"/>
          <w:highlight w:val="none"/>
        </w:rPr>
        <w:t xml:space="preserve">分；须提供相应有效软件著作权登记证书扫描件。</w:t>
      </w:r>
      <w:r>
        <w:rPr>
          <w:rFonts w:hint="eastAsia" w:ascii="宋体" w:hAnsi="宋体"/>
          <w:color w:val="auto"/>
          <w:sz w:val="24"/>
          <w:highlight w:val="none"/>
        </w:rPr>
      </w:r>
      <w:r>
        <w:rPr>
          <w:color w:val="auto"/>
          <w:highlight w:val="none"/>
        </w:rPr>
      </w:r>
    </w:p>
    <w:p>
      <w:pPr>
        <w:pStyle w:val="905"/>
        <w:ind w:firstLine="480"/>
        <w:spacing w:line="500" w:lineRule="exact"/>
        <w:rPr>
          <w:rFonts w:ascii="宋体" w:hAnsi="宋体"/>
          <w:color w:val="auto"/>
          <w:sz w:val="24"/>
          <w:highlight w:val="none"/>
        </w:rPr>
      </w:pPr>
      <w:r>
        <w:rPr>
          <w:rFonts w:hint="eastAsia" w:ascii="宋体" w:hAnsi="宋体"/>
          <w:color w:val="auto"/>
          <w:sz w:val="24"/>
          <w:highlight w:val="none"/>
        </w:rPr>
        <w:t xml:space="preserve">3.3  体系认证（3分）：</w:t>
      </w:r>
      <w:r>
        <w:rPr>
          <w:rFonts w:hint="eastAsia" w:ascii="宋体" w:hAnsi="宋体"/>
          <w:color w:val="auto"/>
          <w:sz w:val="24"/>
          <w:highlight w:val="none"/>
        </w:rPr>
        <w:t xml:space="preserve">投标人具有有效期内</w:t>
      </w:r>
      <w:r>
        <w:rPr>
          <w:rFonts w:hint="eastAsia" w:ascii="宋体" w:hAnsi="宋体"/>
          <w:color w:val="auto"/>
          <w:sz w:val="24"/>
          <w:highlight w:val="none"/>
        </w:rPr>
        <w:t xml:space="preserve">的：</w:t>
      </w:r>
      <w:r>
        <w:rPr>
          <w:rFonts w:hint="eastAsia" w:ascii="宋体" w:hAnsi="宋体"/>
          <w:color w:val="auto"/>
          <w:sz w:val="24"/>
          <w:highlight w:val="none"/>
        </w:rPr>
        <w:t xml:space="preserve">质量管理体系认证证书</w:t>
      </w:r>
      <w:r>
        <w:rPr>
          <w:rFonts w:hint="eastAsia" w:ascii="宋体" w:hAnsi="宋体"/>
          <w:color w:val="auto"/>
          <w:sz w:val="24"/>
          <w:highlight w:val="none"/>
        </w:rPr>
        <w:t xml:space="preserve">的得1</w:t>
      </w:r>
      <w:r>
        <w:rPr>
          <w:rFonts w:hint="eastAsia" w:ascii="宋体" w:hAnsi="宋体"/>
          <w:color w:val="auto"/>
          <w:sz w:val="24"/>
          <w:highlight w:val="none"/>
        </w:rPr>
        <w:t xml:space="preserve">分、职业健康安全管理体系认证证书的得1分</w:t>
      </w:r>
      <w:r>
        <w:rPr>
          <w:rFonts w:hint="eastAsia" w:ascii="宋体" w:hAnsi="宋体"/>
          <w:color w:val="auto"/>
          <w:sz w:val="24"/>
          <w:highlight w:val="none"/>
        </w:rPr>
        <w:t xml:space="preserve">、信息安全管理体系认证证书的得1分</w:t>
      </w:r>
      <w:r>
        <w:rPr>
          <w:rFonts w:hint="eastAsia" w:ascii="宋体" w:hAnsi="宋体"/>
          <w:color w:val="auto"/>
          <w:sz w:val="24"/>
          <w:highlight w:val="none"/>
        </w:rPr>
        <w:t xml:space="preserve">；</w:t>
      </w:r>
      <w:r>
        <w:rPr>
          <w:rFonts w:hint="eastAsia" w:ascii="宋体" w:hAnsi="宋体"/>
          <w:color w:val="auto"/>
          <w:sz w:val="24"/>
          <w:highlight w:val="none"/>
        </w:rPr>
        <w:t xml:space="preserve">须提供相应有效认证证书扫描件，</w:t>
      </w:r>
      <w:r>
        <w:rPr>
          <w:rFonts w:hint="eastAsia" w:ascii="宋体" w:hAnsi="宋体"/>
          <w:color w:val="auto"/>
          <w:sz w:val="24"/>
          <w:highlight w:val="none"/>
        </w:rPr>
        <w:t xml:space="preserve">同时还须提供该证书在“国家市场监督管理总局-全国认证认可信息公共服务平台”网站查询到的有效认证截图。</w:t>
      </w:r>
      <w:r>
        <w:rPr>
          <w:rFonts w:ascii="宋体" w:hAnsi="宋体"/>
          <w:color w:val="auto"/>
          <w:sz w:val="24"/>
          <w:highlight w:val="none"/>
        </w:rPr>
      </w:r>
      <w:r>
        <w:rPr>
          <w:color w:val="auto"/>
          <w:highlight w:val="none"/>
        </w:rPr>
      </w:r>
    </w:p>
    <w:p>
      <w:pPr>
        <w:pStyle w:val="905"/>
        <w:numPr>
          <w:ilvl w:val="4"/>
          <w:numId w:val="9"/>
        </w:numPr>
        <w:ind w:left="0" w:firstLine="482"/>
        <w:spacing w:line="500" w:lineRule="exact"/>
        <w:tabs>
          <w:tab w:val="left" w:pos="525" w:leader="none"/>
          <w:tab w:val="left" w:pos="945" w:leader="none"/>
          <w:tab w:val="left" w:pos="1155" w:leader="none"/>
          <w:tab w:val="clear" w:pos="2250" w:leader="none"/>
        </w:tabs>
        <w:rPr>
          <w:rFonts w:ascii="宋体"/>
          <w:b/>
          <w:bCs/>
          <w:color w:val="auto"/>
          <w:sz w:val="24"/>
          <w:szCs w:val="24"/>
          <w:highlight w:val="none"/>
        </w:rPr>
      </w:pPr>
      <w:r>
        <w:rPr>
          <w:rFonts w:hint="eastAsia" w:ascii="宋体" w:hAnsi="宋体"/>
          <w:b/>
          <w:bCs/>
          <w:color w:val="auto"/>
          <w:sz w:val="24"/>
          <w:szCs w:val="24"/>
          <w:highlight w:val="none"/>
        </w:rPr>
        <w:t xml:space="preserve">演示（</w:t>
      </w: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投标人须按照招标文件规定的演示内容制作演示视频文件，演</w:t>
      </w:r>
      <w:r>
        <w:rPr>
          <w:rFonts w:hint="eastAsia" w:ascii="宋体" w:hAnsi="宋体"/>
          <w:bCs/>
          <w:color w:val="auto"/>
          <w:sz w:val="24"/>
          <w:szCs w:val="24"/>
          <w:highlight w:val="none"/>
        </w:rPr>
        <w:t xml:space="preserve">示视频中的演示形式必须是目前正在运行的真实环境或模拟环境，不得使用PPT形式、截图形式等其他形式演示。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根据投标人视频演示情况和以下功能得分点进行打分，</w:t>
      </w:r>
      <w:r>
        <w:rPr>
          <w:rFonts w:hint="eastAsia" w:ascii="宋体" w:hAnsi="宋体"/>
          <w:bCs/>
          <w:color w:val="auto"/>
          <w:sz w:val="24"/>
          <w:szCs w:val="24"/>
          <w:highlight w:val="none"/>
        </w:rPr>
        <w:t xml:space="preserve">未按要求进行演示或</w:t>
      </w:r>
      <w:r>
        <w:rPr>
          <w:rFonts w:hint="eastAsia" w:ascii="宋体" w:hAnsi="宋体"/>
          <w:bCs/>
          <w:color w:val="auto"/>
          <w:sz w:val="24"/>
          <w:szCs w:val="24"/>
          <w:highlight w:val="none"/>
        </w:rPr>
        <w:t xml:space="preserve">未提供演示视频的不得分。</w:t>
      </w:r>
      <w:r>
        <w:rPr>
          <w:rFonts w:hint="eastAsia" w:ascii="宋体" w:hAnsi="宋体"/>
          <w:bCs/>
          <w:color w:val="auto"/>
          <w:sz w:val="24"/>
          <w:szCs w:val="24"/>
          <w:highlight w:val="none"/>
        </w:rPr>
        <w:t xml:space="preserve">投标人针对：</w:t>
      </w:r>
      <w:r>
        <w:rPr>
          <w:rFonts w:hint="eastAsia" w:ascii="宋体" w:hAnsi="宋体" w:cs="楷体"/>
          <w:color w:val="auto"/>
          <w:sz w:val="24"/>
          <w:szCs w:val="28"/>
          <w:highlight w:val="none"/>
        </w:rPr>
        <w:t xml:space="preserve">基础管理平台、能源物联网平台、节能评估系统、运营管控系统、AI智能控制系统、碳资产管理系统6个平台系统进行演示，演示得分点如下。</w:t>
      </w:r>
      <w:r>
        <w:rPr>
          <w:rFonts w:ascii="宋体"/>
          <w:b/>
          <w:bCs/>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4.1  </w:t>
      </w:r>
      <w:r>
        <w:rPr>
          <w:rFonts w:hint="eastAsia" w:ascii="宋体" w:hAnsi="宋体"/>
          <w:color w:val="auto"/>
          <w:sz w:val="24"/>
          <w:highlight w:val="none"/>
        </w:rPr>
        <w:t xml:space="preserve">基础管理平台（0.5分）：在基础管理平台界面，可以查询/修改用户信息、项目信息、角色权限等基础配置信息，并支持相关信息的关联绑定功能。本项全部按要求进行演示的得0.5分，未按要求进行演示或演示功能点不全或未进行演示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  能源物联网平台（1分）：支持基于设备类型创建设备模板和监测参数，支持以项目维度查看设备信息等功能。本项全部按要求进行演示的得1分，未按要求进行演示或演示功能点不全或未进行演示的，均不得分。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4.3  节能评估系统（0.5分）：支持全域公共机构用能指标信息的总览查看和对标评价功能。本项全部按要求进行演示的得0.5分，未按要求进行演示或演示功能点不全或未进行演示的，均不得分。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4.4  运营管控系统-能耗监管（1分）：支持基于用能账单录入数据和用能设备监测数据的查询、对比和分析功能。本项全部按要求进行演示的得1分，未按要求进行演示或演示功能点不全或未进行演示的，均不得分。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4.5  运营管控系统-设备管控（1分）：支持对末端用能设备进行单体/批量实时控制或制定控制策略进行控制，支持以组态图方式对空调主机进行实时监测控制或者按需制定时间/强度控制策略进行控制。本项全部按要求进行演示的得1分，未按要求进行演示或演示功能点不全或未进行演示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4.6  AI智能控制系统（1分）：支持基于时间、空间和用户反馈构建AI智能控制模型实现对空调末端的精细化节能控制，支持基于冷热源类型、天气环境、工作日节假日构建AI强度控制模型对空调主机进行不断寻优的精细化节能控制。本项全部按要求进行演示的得1分，未按要求进行演示或演示功能点不全或未进行演示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4.7  碳资产管理系统（1分）：支持在线碳资产交易配置和履约情况查看功能，支持碳资产各项指标的查询和分析功能。本项全部按要求进行演示的得1分，未按要求进行演示或演示功能点不全或未进行演示的，均不得分。</w:t>
      </w:r>
      <w:r>
        <w:rPr>
          <w:rFonts w:hint="eastAsia" w:ascii="宋体" w:hAnsi="宋体"/>
          <w:color w:val="auto"/>
          <w:sz w:val="24"/>
          <w:highlight w:val="none"/>
        </w:rPr>
      </w:r>
      <w:r>
        <w:rPr>
          <w:color w:val="auto"/>
          <w:highlight w:val="none"/>
        </w:rPr>
      </w:r>
    </w:p>
    <w:p>
      <w:pPr>
        <w:pStyle w:val="905"/>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65</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无方案不得分。</w:t>
      </w:r>
      <w:r>
        <w:rPr>
          <w:rFonts w:ascii="宋体" w:hAnsi="宋体"/>
          <w:b/>
          <w:bCs/>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5.1  </w:t>
      </w:r>
      <w:r>
        <w:rPr>
          <w:rFonts w:hint="eastAsia" w:ascii="宋体" w:hAnsi="宋体"/>
          <w:color w:val="auto"/>
          <w:sz w:val="24"/>
          <w:highlight w:val="none"/>
        </w:rPr>
        <w:t xml:space="preserve">总体设计方案（</w:t>
      </w:r>
      <w:r>
        <w:rPr>
          <w:rFonts w:hint="eastAsia" w:ascii="宋体" w:hAnsi="宋体"/>
          <w:color w:val="auto"/>
          <w:sz w:val="24"/>
          <w:highlight w:val="none"/>
        </w:rPr>
        <w:t xml:space="preserve">8</w:t>
      </w:r>
      <w:r>
        <w:rPr>
          <w:rFonts w:hint="eastAsia" w:ascii="宋体" w:hAnsi="宋体"/>
          <w:color w:val="auto"/>
          <w:sz w:val="24"/>
          <w:highlight w:val="none"/>
        </w:rPr>
        <w:t xml:space="preserve">分）：方案内容包括：①</w:t>
      </w:r>
      <w:r>
        <w:rPr>
          <w:rFonts w:hint="eastAsia" w:ascii="宋体" w:hAnsi="宋体"/>
          <w:color w:val="auto"/>
          <w:sz w:val="24"/>
          <w:highlight w:val="none"/>
        </w:rPr>
        <w:t xml:space="preserve">设计思路及原则</w:t>
      </w:r>
      <w:r>
        <w:rPr>
          <w:rFonts w:hint="eastAsia" w:ascii="宋体" w:hAnsi="宋体"/>
          <w:color w:val="auto"/>
          <w:sz w:val="24"/>
          <w:highlight w:val="none"/>
        </w:rPr>
        <w:t xml:space="preserve">；②</w:t>
      </w:r>
      <w:r>
        <w:rPr>
          <w:rFonts w:hint="eastAsia" w:ascii="宋体" w:hAnsi="宋体"/>
          <w:color w:val="auto"/>
          <w:sz w:val="24"/>
          <w:highlight w:val="none"/>
        </w:rPr>
        <w:t xml:space="preserve">建设目标</w:t>
      </w:r>
      <w:r>
        <w:rPr>
          <w:rFonts w:hint="eastAsia" w:ascii="宋体" w:hAnsi="宋体"/>
          <w:color w:val="auto"/>
          <w:sz w:val="24"/>
          <w:highlight w:val="none"/>
        </w:rPr>
        <w:t xml:space="preserve">；③</w:t>
      </w:r>
      <w:r>
        <w:rPr>
          <w:rFonts w:hint="eastAsia" w:ascii="宋体" w:hAnsi="宋体"/>
          <w:color w:val="auto"/>
          <w:sz w:val="24"/>
          <w:highlight w:val="none"/>
        </w:rPr>
        <w:t xml:space="preserve">需求分析</w:t>
      </w:r>
      <w:r>
        <w:rPr>
          <w:rFonts w:hint="eastAsia" w:ascii="宋体" w:hAnsi="宋体"/>
          <w:color w:val="auto"/>
          <w:sz w:val="24"/>
          <w:highlight w:val="none"/>
        </w:rPr>
        <w:t xml:space="preserve">；④</w:t>
      </w:r>
      <w:r>
        <w:rPr>
          <w:rFonts w:hint="eastAsia" w:ascii="宋体" w:hAnsi="宋体"/>
          <w:color w:val="auto"/>
          <w:sz w:val="24"/>
          <w:highlight w:val="none"/>
        </w:rPr>
        <w:t xml:space="preserve">系统架构。</w:t>
      </w:r>
      <w:r>
        <w:rPr>
          <w:rFonts w:hint="eastAsia" w:ascii="宋体" w:hAnsi="宋体"/>
          <w:color w:val="auto"/>
          <w:sz w:val="24"/>
          <w:highlight w:val="none"/>
        </w:rPr>
        <w:t xml:space="preserve">根据方案情况综合打分。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项内容方案均齐全的，得</w:t>
      </w:r>
      <w:r>
        <w:rPr>
          <w:rFonts w:hint="eastAsia" w:ascii="宋体" w:hAnsi="宋体"/>
          <w:color w:val="auto"/>
          <w:sz w:val="24"/>
          <w:highlight w:val="none"/>
        </w:rPr>
        <w:t xml:space="preserve">8</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3-4</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7</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w:t>
      </w:r>
      <w:r>
        <w:rPr>
          <w:rFonts w:hint="eastAsia" w:ascii="宋体" w:hAnsi="宋体"/>
          <w:color w:val="auto"/>
          <w:sz w:val="24"/>
          <w:highlight w:val="none"/>
        </w:rPr>
        <w:t xml:space="preserve">2-4</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rFonts w:hint="eastAsia" w:ascii="宋体" w:hAnsi="宋体"/>
          <w:color w:val="auto"/>
          <w:sz w:val="24"/>
          <w:highlight w:val="none"/>
        </w:rPr>
      </w:r>
      <w:r>
        <w:rPr>
          <w:color w:val="auto"/>
          <w:highlight w:val="none"/>
        </w:rPr>
      </w:r>
    </w:p>
    <w:p>
      <w:pPr>
        <w:pStyle w:val="905"/>
        <w:ind w:firstLine="480"/>
        <w:spacing w:line="500" w:lineRule="exact"/>
        <w:rPr>
          <w:rFonts w:ascii="宋体" w:hAnsi="宋体"/>
          <w:color w:val="auto"/>
          <w:sz w:val="24"/>
          <w:highlight w:val="none"/>
        </w:rPr>
      </w:pPr>
      <w:r>
        <w:rPr>
          <w:rFonts w:hint="eastAsia" w:ascii="宋体" w:hAnsi="宋体"/>
          <w:color w:val="auto"/>
          <w:sz w:val="24"/>
          <w:highlight w:val="none"/>
        </w:rPr>
        <w:t xml:space="preserve">5.2  </w:t>
      </w:r>
      <w:r>
        <w:rPr>
          <w:rFonts w:hint="eastAsia" w:ascii="宋体" w:hAnsi="宋体"/>
          <w:color w:val="auto"/>
          <w:sz w:val="24"/>
          <w:highlight w:val="none"/>
        </w:rPr>
        <w:t xml:space="preserve">平台实施部署方案</w:t>
      </w:r>
      <w:r>
        <w:rPr>
          <w:rFonts w:hint="eastAsia" w:ascii="宋体" w:hAnsi="宋体"/>
          <w:color w:val="auto"/>
          <w:sz w:val="24"/>
          <w:highlight w:val="none"/>
        </w:rPr>
        <w:t xml:space="preserve">（</w:t>
      </w:r>
      <w:r>
        <w:rPr>
          <w:rFonts w:hint="eastAsia" w:ascii="宋体" w:hAnsi="宋体"/>
          <w:color w:val="auto"/>
          <w:sz w:val="24"/>
          <w:highlight w:val="none"/>
        </w:rPr>
        <w:t xml:space="preserve">12</w:t>
      </w:r>
      <w:r>
        <w:rPr>
          <w:rFonts w:hint="eastAsia" w:ascii="宋体" w:hAnsi="宋体"/>
          <w:color w:val="auto"/>
          <w:sz w:val="24"/>
          <w:highlight w:val="none"/>
        </w:rPr>
        <w:t xml:space="preserve">分）</w:t>
      </w:r>
      <w:r>
        <w:rPr>
          <w:rFonts w:hint="eastAsia" w:ascii="宋体" w:hAnsi="宋体"/>
          <w:color w:val="auto"/>
          <w:sz w:val="24"/>
          <w:highlight w:val="none"/>
        </w:rPr>
        <w:t xml:space="preserve">：</w:t>
      </w:r>
      <w:r>
        <w:rPr>
          <w:rFonts w:hint="eastAsia" w:ascii="宋体" w:hAnsi="宋体"/>
          <w:color w:val="auto"/>
          <w:sz w:val="24"/>
          <w:highlight w:val="none"/>
        </w:rPr>
        <w:t xml:space="preserve">方案内容包括：</w:t>
      </w:r>
      <w:r>
        <w:rPr>
          <w:rFonts w:hint="eastAsia" w:ascii="宋体" w:hAnsi="宋体"/>
          <w:color w:val="auto"/>
          <w:sz w:val="24"/>
          <w:highlight w:val="none"/>
        </w:rPr>
        <w:t xml:space="preserve">①</w:t>
      </w:r>
      <w:r>
        <w:rPr>
          <w:rFonts w:hint="eastAsia" w:ascii="宋体" w:hAnsi="宋体"/>
          <w:color w:val="auto"/>
          <w:sz w:val="24"/>
          <w:highlight w:val="none"/>
        </w:rPr>
        <w:t xml:space="preserve">实施阶段与里程碑管理；</w:t>
      </w:r>
      <w:r>
        <w:rPr>
          <w:rFonts w:hint="eastAsia" w:ascii="宋体" w:hAnsi="宋体"/>
          <w:color w:val="auto"/>
          <w:sz w:val="24"/>
          <w:highlight w:val="none"/>
        </w:rPr>
        <w:t xml:space="preserve">②</w:t>
      </w:r>
      <w:r>
        <w:rPr>
          <w:rFonts w:hint="eastAsia" w:ascii="宋体" w:hAnsi="宋体"/>
          <w:color w:val="auto"/>
          <w:sz w:val="24"/>
          <w:highlight w:val="none"/>
        </w:rPr>
        <w:t xml:space="preserve">平台性能保证；③系统部署实施；④数据接入标准；⑤测试与验收管理。根据方案情</w:t>
      </w:r>
      <w:r>
        <w:rPr>
          <w:rFonts w:hint="eastAsia" w:ascii="宋体" w:hAnsi="宋体"/>
          <w:color w:val="auto"/>
          <w:sz w:val="24"/>
          <w:highlight w:val="none"/>
        </w:rPr>
        <w:t xml:space="preserve">况综合打分。</w:t>
      </w:r>
      <w:r>
        <w:rPr>
          <w:rFonts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w:t>
      </w:r>
      <w:r>
        <w:rPr>
          <w:rFonts w:hint="eastAsia" w:ascii="宋体" w:hAnsi="宋体"/>
          <w:color w:val="auto"/>
          <w:sz w:val="24"/>
          <w:highlight w:val="none"/>
        </w:rPr>
        <w:t xml:space="preserve">5</w:t>
      </w:r>
      <w:r>
        <w:rPr>
          <w:rFonts w:hint="eastAsia" w:ascii="宋体" w:hAnsi="宋体"/>
          <w:color w:val="auto"/>
          <w:sz w:val="24"/>
          <w:highlight w:val="none"/>
        </w:rPr>
        <w:t xml:space="preserve">项内容方案均齐全的，得</w:t>
      </w:r>
      <w:r>
        <w:rPr>
          <w:rFonts w:hint="eastAsia" w:ascii="宋体" w:hAnsi="宋体"/>
          <w:color w:val="auto"/>
          <w:sz w:val="24"/>
          <w:highlight w:val="none"/>
        </w:rPr>
        <w:t xml:space="preserve">12</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4-5</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10</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w:t>
      </w:r>
      <w:r>
        <w:rPr>
          <w:rFonts w:hint="eastAsia"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olor w:val="auto"/>
          <w:sz w:val="24"/>
          <w:highlight w:val="none"/>
        </w:rPr>
        <w:t xml:space="preserve">5</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8</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w:t>
      </w:r>
      <w:r>
        <w:rPr>
          <w:rFonts w:hint="eastAsia" w:ascii="宋体" w:hAnsi="宋体"/>
          <w:color w:val="auto"/>
          <w:sz w:val="24"/>
          <w:highlight w:val="none"/>
        </w:rPr>
        <w:t xml:space="preserve">2-</w:t>
      </w:r>
      <w:r>
        <w:rPr>
          <w:rFonts w:hint="eastAsia" w:ascii="宋体" w:hAnsi="宋体"/>
          <w:color w:val="auto"/>
          <w:sz w:val="24"/>
          <w:highlight w:val="none"/>
        </w:rPr>
        <w:t xml:space="preserve">5</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6</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方案内容不足</w:t>
      </w:r>
      <w:r>
        <w:rPr>
          <w:rFonts w:hint="eastAsia" w:ascii="宋体" w:hAnsi="宋体"/>
          <w:color w:val="auto"/>
          <w:sz w:val="24"/>
          <w:highlight w:val="none"/>
        </w:rPr>
        <w:t xml:space="preserve">2</w:t>
      </w:r>
      <w:r>
        <w:rPr>
          <w:rFonts w:hint="eastAsia" w:ascii="宋体" w:hAnsi="宋体"/>
          <w:color w:val="auto"/>
          <w:sz w:val="24"/>
          <w:highlight w:val="none"/>
        </w:rPr>
        <w:t xml:space="preserve">项或</w:t>
      </w:r>
      <w:r>
        <w:rPr>
          <w:rFonts w:hint="eastAsia" w:ascii="宋体" w:hAnsi="宋体"/>
          <w:color w:val="auto"/>
          <w:sz w:val="24"/>
          <w:highlight w:val="none"/>
        </w:rPr>
        <w:t xml:space="preserve">未按要求提供方案内容或无方案的，均不得分。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5.3  </w:t>
      </w:r>
      <w:r>
        <w:rPr>
          <w:rFonts w:hint="eastAsia" w:ascii="宋体" w:hAnsi="宋体"/>
          <w:color w:val="auto"/>
          <w:sz w:val="24"/>
          <w:highlight w:val="none"/>
        </w:rPr>
        <w:t xml:space="preserve">基础管理平台软件功能建设方案（5分）：根据采购需求和项目实际情况提供无锡市公共机构节能信息化“一张网”监管平台的“基础管理平台”功能建设方案，方案内容包括：①基础管理平台建设内容；②用户注册、审核、查看、管理等功能建设；③基础信息（包括租户、系统、项目、角色等）创建、修改、删除、查看等功能建设。</w:t>
      </w:r>
      <w:r>
        <w:rPr>
          <w:rFonts w:hint="eastAsia" w:ascii="宋体" w:hAnsi="宋体"/>
          <w:color w:val="auto"/>
          <w:sz w:val="24"/>
          <w:highlight w:val="none"/>
        </w:rPr>
        <w:t xml:space="preserve">根据方案情况综合打分。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w:t>
      </w:r>
      <w:r>
        <w:rPr>
          <w:rFonts w:hint="eastAsia" w:ascii="宋体" w:hAnsi="宋体"/>
          <w:color w:val="auto"/>
          <w:sz w:val="24"/>
          <w:highlight w:val="none"/>
        </w:rPr>
        <w:t xml:space="preserve">4</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方案清晰度、合理性、详细性、全面性、针对性、可行性均一般，能够提供2-3项内容方案的，得</w:t>
      </w:r>
      <w:r>
        <w:rPr>
          <w:rFonts w:hint="eastAsia" w:ascii="宋体" w:hAnsi="宋体"/>
          <w:color w:val="auto"/>
          <w:sz w:val="24"/>
          <w:highlight w:val="none"/>
        </w:rPr>
        <w:t xml:space="preserve">3</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方案内容基本满足要求，能够提供1-3项内容方案的，得</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5.4  </w:t>
      </w:r>
      <w:r>
        <w:rPr>
          <w:rFonts w:hint="eastAsia" w:ascii="宋体" w:hAnsi="宋体"/>
          <w:color w:val="auto"/>
          <w:sz w:val="24"/>
          <w:highlight w:val="none"/>
        </w:rPr>
        <w:t xml:space="preserve">能源物联网平台功能建设方案（5分）：根据采购需求和项目实际情况提供无锡市公共机构节能信息化“一张网”监管平台的“能源物联网平台”功能建设方案，方案内容包括：①能源物联网平台建设内容；②设备信息（如设备类型、设备参数模板、具体设备等）的创建、修改、删除、查看等功能建设；③关联信息（如物理空间、用能场景等）的创建、修改、删除、查看等功能建设。</w:t>
      </w:r>
      <w:r>
        <w:rPr>
          <w:rFonts w:hint="eastAsia" w:ascii="宋体" w:hAnsi="宋体"/>
          <w:color w:val="auto"/>
          <w:sz w:val="24"/>
          <w:highlight w:val="none"/>
        </w:rPr>
        <w:t xml:space="preserve">根据方案情况综合打分。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w:t>
      </w:r>
      <w:r>
        <w:rPr>
          <w:rFonts w:hint="eastAsia" w:ascii="宋体" w:hAnsi="宋体"/>
          <w:color w:val="auto"/>
          <w:sz w:val="24"/>
          <w:highlight w:val="none"/>
        </w:rPr>
        <w:t xml:space="preserve">4</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方案清晰度、合理性、详细性、全面性、针对性、可行性均一般，能够提供2-3项内容方案的，得</w:t>
      </w:r>
      <w:r>
        <w:rPr>
          <w:rFonts w:hint="eastAsia" w:ascii="宋体" w:hAnsi="宋体"/>
          <w:color w:val="auto"/>
          <w:sz w:val="24"/>
          <w:highlight w:val="none"/>
        </w:rPr>
        <w:t xml:space="preserve">3</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方案内容基本满足要求，能够提供1-3项内容方案的，得</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5.5  </w:t>
      </w:r>
      <w:r>
        <w:rPr>
          <w:rFonts w:hint="eastAsia" w:ascii="宋体" w:hAnsi="宋体"/>
          <w:color w:val="auto"/>
          <w:sz w:val="24"/>
          <w:highlight w:val="none"/>
        </w:rPr>
        <w:t xml:space="preserve">节能评估系统功能建设方案（5分）：根据采购需求和项目实际情况提供无锡市公共机构节能信息化“一张网”监管平台的“节能评估系统”功能建设方案，方案内容包括：①节能评估系统建设内容；②整体/单体公共机构能耗指标、碳排放指标信息总览功能建设；③项目运营信息查看功能建设；④公共机构用能指标在线评价功能建设。</w:t>
      </w:r>
      <w:r>
        <w:rPr>
          <w:rFonts w:hint="eastAsia" w:ascii="宋体" w:hAnsi="宋体"/>
          <w:color w:val="auto"/>
          <w:sz w:val="24"/>
          <w:highlight w:val="none"/>
        </w:rPr>
        <w:t xml:space="preserve">根据方案情况综合打分。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方案清晰、合理、详细、全面、针对性强、可行性强，且4项内容方案均齐全的，得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方案较清晰、较合理、较详细、较全面、针对性较强、可行性较强，能够提供3-4项内容方案的，得</w:t>
      </w:r>
      <w:r>
        <w:rPr>
          <w:rFonts w:hint="eastAsia" w:ascii="宋体" w:hAnsi="宋体"/>
          <w:color w:val="auto"/>
          <w:sz w:val="24"/>
          <w:highlight w:val="none"/>
        </w:rPr>
        <w:t xml:space="preserve">4</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方案清晰度、合理性、详细性、全面性、针对性、可行性均一般，能够提供2-4项内容方案的，得</w:t>
      </w:r>
      <w:r>
        <w:rPr>
          <w:rFonts w:hint="eastAsia" w:ascii="宋体" w:hAnsi="宋体"/>
          <w:color w:val="auto"/>
          <w:sz w:val="24"/>
          <w:highlight w:val="none"/>
        </w:rPr>
        <w:t xml:space="preserve">3</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方案内容基本满足要求，能够提供1-4项内容方案的，得</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5.6  </w:t>
      </w:r>
      <w:r>
        <w:rPr>
          <w:rFonts w:hint="eastAsia" w:ascii="宋体" w:hAnsi="宋体"/>
          <w:color w:val="auto"/>
          <w:sz w:val="24"/>
          <w:highlight w:val="none"/>
        </w:rPr>
        <w:t xml:space="preserve">运营管控系统功能建设方案（5分）：根据采购需求和项目实际情况提供无锡市公共机构节能信息化“一张网”监管平台的“运营管控系统”功能建设方案，方案内容包括：①运营管控系统建设内容；②用能账单数据的录入与对标建设；③用能监测数据的配置、查询与对比功能建设；④末端用能设备的运行控制管理功能建设；⑤空调主机的运行控制管理建设。</w:t>
      </w:r>
      <w:r>
        <w:rPr>
          <w:rFonts w:hint="eastAsia" w:ascii="宋体" w:hAnsi="宋体"/>
          <w:color w:val="auto"/>
          <w:sz w:val="24"/>
          <w:highlight w:val="none"/>
        </w:rPr>
        <w:t xml:space="preserve">根据方案情况综合打分。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方案清晰、合理、详细、全面、针对性强、可行性强，且5项内容方案均齐全的，得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方案较清晰、较合理、较详细、较全面、针对性较强、可行性较强，能够提供3-5项内容方案的，得</w:t>
      </w:r>
      <w:r>
        <w:rPr>
          <w:rFonts w:hint="eastAsia" w:ascii="宋体" w:hAnsi="宋体"/>
          <w:color w:val="auto"/>
          <w:sz w:val="24"/>
          <w:highlight w:val="none"/>
        </w:rPr>
        <w:t xml:space="preserve">4</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方案清晰度、合理性、详细性、全面性、针对性、可行性均一般，能够提供2-5项内容方案的，得</w:t>
      </w:r>
      <w:r>
        <w:rPr>
          <w:rFonts w:hint="eastAsia" w:ascii="宋体" w:hAnsi="宋体"/>
          <w:color w:val="auto"/>
          <w:sz w:val="24"/>
          <w:highlight w:val="none"/>
        </w:rPr>
        <w:t xml:space="preserve">3</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方案内容基本满足要求，能够提供1-5项内容方案的，得</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5.7  </w:t>
      </w:r>
      <w:r>
        <w:rPr>
          <w:rFonts w:hint="eastAsia" w:ascii="宋体" w:hAnsi="宋体"/>
          <w:color w:val="auto"/>
          <w:sz w:val="24"/>
          <w:highlight w:val="none"/>
        </w:rPr>
        <w:t xml:space="preserve">AI智能控制系统功能建设方案（5分）：根据采购需求和项目实际情况提供无锡市公共机构节能信息化“一张网”监管平台的“AI智能控制系统”功能建设方案，方案内容包括：①AI智能控制系统建设内容；②基于策略+交互行为学习的空调末端AI智能控制功能；③基于专家经验模型+规则约束的主机系统AI智能控制功能建设。</w:t>
      </w:r>
      <w:r>
        <w:rPr>
          <w:rFonts w:hint="eastAsia" w:ascii="宋体" w:hAnsi="宋体"/>
          <w:color w:val="auto"/>
          <w:sz w:val="24"/>
          <w:highlight w:val="none"/>
        </w:rPr>
        <w:t xml:space="preserve">根据方案情况综合打分。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w:t>
      </w:r>
      <w:r>
        <w:rPr>
          <w:rFonts w:hint="eastAsia" w:ascii="宋体" w:hAnsi="宋体"/>
          <w:color w:val="auto"/>
          <w:sz w:val="24"/>
          <w:highlight w:val="none"/>
        </w:rPr>
        <w:t xml:space="preserve">4</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方案清晰度、合理性、详细性、全面性、针对性、可行性均一般，能够提供2-3项内容方案的，得</w:t>
      </w:r>
      <w:r>
        <w:rPr>
          <w:rFonts w:hint="eastAsia" w:ascii="宋体" w:hAnsi="宋体"/>
          <w:color w:val="auto"/>
          <w:sz w:val="24"/>
          <w:highlight w:val="none"/>
        </w:rPr>
        <w:t xml:space="preserve">3</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方案内容基本满足要求，能够提供1-3项内容方案的，得</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5.8  </w:t>
      </w:r>
      <w:r>
        <w:rPr>
          <w:rFonts w:hint="eastAsia" w:ascii="宋体" w:hAnsi="宋体"/>
          <w:color w:val="auto"/>
          <w:sz w:val="24"/>
          <w:highlight w:val="none"/>
        </w:rPr>
        <w:t xml:space="preserve">碳资产管理系统功能建设方案（5分）：根据采购需求和项目实际情况提供无锡市公共机构节能信息化“一张网”监管平台的“碳资产管理系统”功能建设方案，方案内容包括：①碳资产管理系统建设内容；②碳资产、碳排放、碳交易、碳履约、碳中和等关键数据的查看和对比分析功能建设；③碳资产和碳交易的配置和跟踪查询等功能建设。</w:t>
      </w:r>
      <w:r>
        <w:rPr>
          <w:rFonts w:hint="eastAsia" w:ascii="宋体" w:hAnsi="宋体"/>
          <w:color w:val="auto"/>
          <w:sz w:val="24"/>
          <w:highlight w:val="none"/>
        </w:rPr>
        <w:t xml:space="preserve">根据方案情况综合打分。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w:t>
      </w:r>
      <w:r>
        <w:rPr>
          <w:rFonts w:hint="eastAsia" w:ascii="宋体" w:hAnsi="宋体"/>
          <w:color w:val="auto"/>
          <w:sz w:val="24"/>
          <w:highlight w:val="none"/>
        </w:rPr>
        <w:t xml:space="preserve">4</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方案清晰度、合理性、详细性、全面性、针对性、可行性均一般，能够提供2-3项内容方案的，得</w:t>
      </w:r>
      <w:r>
        <w:rPr>
          <w:rFonts w:hint="eastAsia" w:ascii="宋体" w:hAnsi="宋体"/>
          <w:color w:val="auto"/>
          <w:sz w:val="24"/>
          <w:highlight w:val="none"/>
        </w:rPr>
        <w:t xml:space="preserve">3</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方案内容基本满足要求，能够提供1-3项内容方案的，得</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rPr>
        <w:t xml:space="preserve">9</w:t>
      </w:r>
      <w:r>
        <w:rPr>
          <w:rFonts w:hint="eastAsia" w:ascii="宋体" w:hAnsi="宋体"/>
          <w:color w:val="auto"/>
          <w:sz w:val="24"/>
          <w:highlight w:val="none"/>
        </w:rPr>
        <w:t xml:space="preserve">  信息安全方案（</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rFonts w:hint="eastAsia" w:ascii="宋体" w:hAnsi="宋体"/>
          <w:color w:val="auto"/>
          <w:sz w:val="24"/>
          <w:highlight w:val="none"/>
        </w:rPr>
        <w:t xml:space="preserve">方案内容包括：①数据保密措施；②信息安全风险及需求分析；③信息安全技术及管理方案；④突发事件处理方案。根据方案情况综合打分。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方案清晰、合理、详细、全面、针对性强、可行性强，且4项内容方案均齐全的，得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方案较清晰、较合理、较详细、较全面、针对性较强、可行性较强，能够提供3-4项内容方案的，得</w:t>
      </w:r>
      <w:r>
        <w:rPr>
          <w:rFonts w:hint="eastAsia" w:ascii="宋体" w:hAnsi="宋体"/>
          <w:color w:val="auto"/>
          <w:sz w:val="24"/>
          <w:highlight w:val="none"/>
        </w:rPr>
        <w:t xml:space="preserve">4</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方案清晰度、合理性、详细性、全面性、针对性、可行性均一般，能够提供2-4项内容方案的，得</w:t>
      </w:r>
      <w:r>
        <w:rPr>
          <w:rFonts w:hint="eastAsia" w:ascii="宋体" w:hAnsi="宋体"/>
          <w:color w:val="auto"/>
          <w:sz w:val="24"/>
          <w:highlight w:val="none"/>
        </w:rPr>
        <w:t xml:space="preserve">3</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方案内容基本满足要求，能够提供1-4项内容方案的，得</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rPr>
        <w:t xml:space="preserve">10</w:t>
      </w:r>
      <w:r>
        <w:rPr>
          <w:rFonts w:hint="eastAsia" w:ascii="宋体" w:hAnsi="宋体"/>
          <w:color w:val="auto"/>
          <w:sz w:val="24"/>
          <w:highlight w:val="none"/>
        </w:rPr>
        <w:t xml:space="preserve">  管理方案（</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rFonts w:hint="eastAsia" w:ascii="宋体" w:hAnsi="宋体"/>
          <w:color w:val="auto"/>
          <w:sz w:val="24"/>
          <w:highlight w:val="none"/>
        </w:rPr>
        <w:t xml:space="preserve">方案内容包括：①人员组织；②进度管理；③质量管理；④风险管理。根据方案情况综合打分。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项内容方案均齐全的，得5分；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3-4</w:t>
      </w:r>
      <w:r>
        <w:rPr>
          <w:rFonts w:hint="eastAsia" w:ascii="宋体" w:hAnsi="宋体"/>
          <w:color w:val="auto"/>
          <w:sz w:val="24"/>
          <w:highlight w:val="none"/>
        </w:rPr>
        <w:t xml:space="preserve">项内容方案的，得4分；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方案清晰度、合理性、详细性、全面性、针对性、可行性均一般，能够提供2-</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项内容方案的，得3分；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方案内容基本满足要求，能够提供1-</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项内容方案的，得2分；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w:t>
      </w:r>
      <w:r>
        <w:rPr>
          <w:rFonts w:hint="eastAsia" w:ascii="宋体" w:hAnsi="宋体"/>
          <w:color w:val="auto"/>
          <w:sz w:val="24"/>
          <w:highlight w:val="none"/>
        </w:rPr>
        <w:t xml:space="preserve">11</w:t>
      </w:r>
      <w:r>
        <w:rPr>
          <w:rFonts w:hint="eastAsia" w:ascii="宋体" w:hAnsi="宋体"/>
          <w:color w:val="auto"/>
          <w:sz w:val="24"/>
          <w:highlight w:val="none"/>
        </w:rPr>
        <w:t xml:space="preserve">  运维服务及培训方案（</w:t>
      </w:r>
      <w:r>
        <w:rPr>
          <w:rFonts w:hint="eastAsia" w:ascii="宋体" w:hAnsi="宋体"/>
          <w:color w:val="auto"/>
          <w:sz w:val="24"/>
          <w:highlight w:val="none"/>
        </w:rPr>
        <w:t xml:space="preserve">5</w:t>
      </w:r>
      <w:r>
        <w:rPr>
          <w:rFonts w:hint="eastAsia" w:ascii="宋体" w:hAnsi="宋体"/>
          <w:color w:val="auto"/>
          <w:sz w:val="24"/>
          <w:highlight w:val="none"/>
        </w:rPr>
        <w:t xml:space="preserve">分）：方案内容包括：①</w:t>
      </w:r>
      <w:r>
        <w:rPr>
          <w:rFonts w:hint="eastAsia" w:ascii="宋体" w:hAnsi="宋体" w:cs="楷体"/>
          <w:color w:val="auto"/>
          <w:sz w:val="24"/>
          <w:szCs w:val="28"/>
          <w:highlight w:val="none"/>
        </w:rPr>
        <w:t xml:space="preserve">信息系统运维服务方案；②信息化平台培训方案。</w:t>
      </w:r>
      <w:r>
        <w:rPr>
          <w:rFonts w:hint="eastAsia" w:ascii="宋体" w:hAnsi="宋体"/>
          <w:color w:val="auto"/>
          <w:sz w:val="24"/>
          <w:highlight w:val="none"/>
        </w:rPr>
        <w:t xml:space="preserve">根据方案情况综合打分。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方案清晰、合理、详细、全面、针对性强、可行性强，且2项内容方案均齐全的，得</w:t>
      </w:r>
      <w:r>
        <w:rPr>
          <w:rFonts w:hint="eastAsia" w:ascii="宋体" w:hAnsi="宋体"/>
          <w:color w:val="auto"/>
          <w:sz w:val="24"/>
          <w:highlight w:val="none"/>
        </w:rPr>
        <w:t xml:space="preserve">5</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方案较清晰、较合理、较详细、较全面、针对性较强、可行性较强，能够提供2项内容方案的，得</w:t>
      </w:r>
      <w:r>
        <w:rPr>
          <w:rFonts w:hint="eastAsia" w:ascii="宋体" w:hAnsi="宋体"/>
          <w:color w:val="auto"/>
          <w:sz w:val="24"/>
          <w:highlight w:val="none"/>
        </w:rPr>
        <w:t xml:space="preserve">4</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方案清晰度、合理性、详细性、全面性、针对性、可行性均一般，能够提供1-2</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3</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方案内容基本满足要求，能够提供</w:t>
      </w:r>
      <w:r>
        <w:rPr>
          <w:rFonts w:hint="eastAsia" w:ascii="宋体" w:hAnsi="宋体"/>
          <w:color w:val="auto"/>
          <w:sz w:val="24"/>
          <w:highlight w:val="none"/>
        </w:rPr>
        <w:t xml:space="preserve">1-2</w:t>
      </w:r>
      <w:r>
        <w:rPr>
          <w:rFonts w:hint="eastAsia" w:ascii="宋体" w:hAnsi="宋体"/>
          <w:color w:val="auto"/>
          <w:sz w:val="24"/>
          <w:highlight w:val="none"/>
        </w:rPr>
        <w:t xml:space="preserve">项内容方案的，得</w:t>
      </w:r>
      <w:r>
        <w:rPr>
          <w:rFonts w:hint="eastAsia" w:ascii="宋体" w:hAnsi="宋体"/>
          <w:color w:val="auto"/>
          <w:sz w:val="24"/>
          <w:highlight w:val="none"/>
        </w:rPr>
        <w:t xml:space="preserve">2</w:t>
      </w:r>
      <w:r>
        <w:rPr>
          <w:rFonts w:hint="eastAsia" w:ascii="宋体" w:hAnsi="宋体"/>
          <w:color w:val="auto"/>
          <w:sz w:val="24"/>
          <w:highlight w:val="none"/>
        </w:rPr>
        <w:t xml:space="preserve">分；</w:t>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未按要求提供方案内容或无方案的，均不得分。</w:t>
      </w:r>
      <w:r>
        <w:rPr>
          <w:rFonts w:hint="eastAsia" w:ascii="宋体" w:hAnsi="宋体"/>
          <w:color w:val="auto"/>
          <w:sz w:val="24"/>
          <w:highlight w:val="none"/>
        </w:rPr>
      </w:r>
      <w:r>
        <w:rPr>
          <w:color w:val="auto"/>
          <w:highlight w:val="none"/>
        </w:rPr>
      </w:r>
    </w:p>
    <w:p>
      <w:pPr>
        <w:pStyle w:val="905"/>
        <w:ind w:firstLine="480"/>
        <w:spacing w:line="500" w:lineRule="exact"/>
        <w:rPr>
          <w:rFonts w:hint="eastAsia" w:ascii="宋体" w:hAnsi="宋体"/>
          <w:color w:val="auto"/>
          <w:sz w:val="24"/>
          <w:highlight w:val="none"/>
        </w:rPr>
      </w:pPr>
      <w:r>
        <w:rPr>
          <w:rFonts w:hint="eastAsia" w:ascii="宋体" w:hAnsi="宋体"/>
          <w:color w:val="auto"/>
          <w:sz w:val="24"/>
          <w:highlight w:val="none"/>
        </w:rPr>
      </w:r>
      <w:r>
        <w:rPr>
          <w:color w:val="auto"/>
          <w:highlight w:val="none"/>
        </w:rPr>
      </w:r>
    </w:p>
    <w:p>
      <w:pPr>
        <w:pStyle w:val="905"/>
        <w:ind w:firstLine="480"/>
        <w:spacing w:line="500" w:lineRule="exact"/>
        <w:rPr>
          <w:rFonts w:ascii="宋体" w:hAnsi="宋体"/>
          <w:color w:val="auto"/>
          <w:sz w:val="24"/>
          <w:highlight w:val="none"/>
        </w:rPr>
      </w:pPr>
      <w:r>
        <w:rPr>
          <w:rFonts w:ascii="宋体" w:hAnsi="宋体"/>
          <w:color w:val="auto"/>
          <w:sz w:val="24"/>
          <w:highlight w:val="none"/>
        </w:rPr>
      </w:r>
      <w:r>
        <w:rPr>
          <w:color w:val="auto"/>
          <w:highlight w:val="none"/>
        </w:rPr>
      </w:r>
    </w:p>
    <w:p>
      <w:pPr>
        <w:pStyle w:val="993"/>
        <w:jc w:val="center"/>
        <w:spacing w:before="0" w:after="0" w:line="500" w:lineRule="exact"/>
        <w:rPr>
          <w:rFonts w:hint="eastAsia" w:ascii="黑体" w:hAnsi="黑体" w:eastAsia="黑体"/>
          <w:color w:val="auto"/>
          <w:sz w:val="36"/>
          <w:szCs w:val="36"/>
          <w:highlight w:val="none"/>
        </w:rPr>
      </w:pPr>
      <w:r>
        <w:rPr>
          <w:rFonts w:ascii="宋体" w:hAnsi="宋体"/>
          <w:color w:val="auto"/>
          <w:highlight w:val="none"/>
        </w:rPr>
        <w:br w:type="page" w:clear="all"/>
      </w:r>
      <w:r>
        <w:rPr>
          <w:rFonts w:hint="eastAsia" w:ascii="黑体" w:hAnsi="黑体" w:eastAsia="黑体"/>
          <w:color w:val="auto"/>
          <w:sz w:val="36"/>
          <w:szCs w:val="36"/>
          <w:highlight w:val="none"/>
        </w:rPr>
        <w:t xml:space="preserve">第六章  </w:t>
      </w:r>
      <w:bookmarkEnd w:id="191"/>
      <w:r>
        <w:rPr>
          <w:color w:val="auto"/>
          <w:highlight w:val="none"/>
        </w:rPr>
      </w:r>
      <w:bookmarkEnd w:id="192"/>
      <w:r>
        <w:rPr>
          <w:color w:val="auto"/>
          <w:highlight w:val="none"/>
        </w:rPr>
      </w:r>
      <w:bookmarkEnd w:id="206"/>
      <w:r>
        <w:rPr>
          <w:rFonts w:hint="eastAsia" w:ascii="黑体" w:hAnsi="黑体" w:eastAsia="黑体"/>
          <w:color w:val="auto"/>
          <w:sz w:val="36"/>
          <w:szCs w:val="36"/>
          <w:highlight w:val="none"/>
        </w:rPr>
        <w:t xml:space="preserve">投标文件内容与格式</w:t>
      </w:r>
      <w:r>
        <w:rPr>
          <w:color w:val="auto"/>
          <w:highlight w:val="none"/>
        </w:rPr>
      </w:r>
    </w:p>
    <w:p>
      <w:pPr>
        <w:pStyle w:val="993"/>
        <w:ind w:firstLine="602"/>
        <w:spacing w:before="0" w:after="0" w:line="500" w:lineRule="exact"/>
        <w:rPr>
          <w:rFonts w:hint="eastAsia" w:cs="Arial"/>
          <w:b/>
          <w:color w:val="auto"/>
          <w:sz w:val="30"/>
          <w:szCs w:val="30"/>
          <w:highlight w:val="none"/>
        </w:rPr>
      </w:pPr>
      <w:r>
        <w:rPr>
          <w:color w:val="auto"/>
          <w:highlight w:val="none"/>
        </w:rPr>
      </w:r>
      <w:bookmarkStart w:id="209" w:name="_Hlt26955039"/>
      <w:r>
        <w:rPr>
          <w:color w:val="auto"/>
          <w:highlight w:val="none"/>
        </w:rPr>
      </w:r>
      <w:bookmarkEnd w:id="209"/>
      <w:r>
        <w:rPr>
          <w:color w:val="auto"/>
          <w:highlight w:val="none"/>
        </w:rPr>
      </w:r>
      <w:bookmarkStart w:id="210" w:name="_Toc49090576"/>
      <w:r>
        <w:rPr>
          <w:color w:val="auto"/>
          <w:highlight w:val="none"/>
        </w:rPr>
      </w:r>
      <w:bookmarkStart w:id="211" w:name="_Toc120614282"/>
      <w:r>
        <w:rPr>
          <w:color w:val="auto"/>
          <w:highlight w:val="none"/>
        </w:rPr>
      </w:r>
      <w:bookmarkStart w:id="212" w:name="_Toc26554094"/>
      <w:r>
        <w:rPr>
          <w:color w:val="auto"/>
          <w:highlight w:val="none"/>
        </w:rPr>
      </w:r>
      <w:bookmarkStart w:id="213" w:name="_Hlt26671244"/>
      <w:r>
        <w:rPr>
          <w:color w:val="auto"/>
          <w:highlight w:val="none"/>
        </w:rPr>
      </w:r>
      <w:bookmarkEnd w:id="213"/>
      <w:r>
        <w:rPr>
          <w:rFonts w:hint="eastAsia" w:cs="Arial"/>
          <w:b/>
          <w:color w:val="auto"/>
          <w:sz w:val="30"/>
          <w:szCs w:val="30"/>
          <w:highlight w:val="none"/>
        </w:rPr>
        <w:t xml:space="preserve">第一部分  投标文件内容</w:t>
      </w:r>
      <w:r>
        <w:rPr>
          <w:color w:val="auto"/>
          <w:highlight w:val="none"/>
        </w:rPr>
      </w:r>
    </w:p>
    <w:p>
      <w:pPr>
        <w:pStyle w:val="993"/>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rPr>
          <w:rFonts w:hint="eastAsia" w:cs="Arial"/>
          <w:b/>
          <w:color w:val="auto"/>
          <w:sz w:val="28"/>
          <w:szCs w:val="28"/>
          <w:highlight w:val="none"/>
        </w:rPr>
      </w:r>
      <w:r>
        <w:rPr>
          <w:color w:val="auto"/>
          <w:highlight w:val="none"/>
        </w:rP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93"/>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rPr>
                <w:color w:val="auto"/>
                <w:highlight w:val="none"/>
              </w:rPr>
            </w:r>
          </w:p>
        </w:tc>
        <w:tc>
          <w:tcPr>
            <w:tcW w:w="6104" w:type="dxa"/>
            <w:vAlign w:val="center"/>
            <w:textDirection w:val="lrTb"/>
            <w:noWrap w:val="false"/>
          </w:tcPr>
          <w:p>
            <w:pPr>
              <w:pStyle w:val="993"/>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color w:val="auto"/>
                <w:highlight w:val="none"/>
              </w:rPr>
            </w:r>
          </w:p>
        </w:tc>
        <w:tc>
          <w:tcPr>
            <w:tcW w:w="2449" w:type="dxa"/>
            <w:vAlign w:val="center"/>
            <w:textDirection w:val="lrTb"/>
            <w:noWrap w:val="false"/>
          </w:tcPr>
          <w:p>
            <w:pPr>
              <w:pStyle w:val="993"/>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rPr>
                <w:color w:val="auto"/>
                <w:highlight w:val="none"/>
              </w:rPr>
            </w:r>
          </w:p>
        </w:tc>
      </w:tr>
      <w:tr>
        <w:trPr>
          <w:cantSplit/>
          <w:trHeight w:val="1335"/>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rPr>
                <w:color w:val="auto"/>
                <w:highlight w:val="none"/>
              </w:rP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auto"/>
                <w:highlight w:val="none"/>
              </w:rPr>
            </w:r>
          </w:p>
        </w:tc>
        <w:tc>
          <w:tcPr>
            <w:tcW w:w="2449" w:type="dxa"/>
            <w:vAlign w:val="center"/>
            <w:vMerge w:val="restart"/>
            <w:textDirection w:val="lrTb"/>
            <w:noWrap w:val="false"/>
          </w:tcPr>
          <w:p>
            <w:pPr>
              <w:pStyle w:val="99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rPr>
                <w:rFonts w:hint="eastAsia" w:ascii="宋体" w:hAnsi="宋体" w:cs="宋体"/>
                <w:color w:val="auto"/>
                <w:highlight w:val="none"/>
              </w:rPr>
            </w:r>
            <w:r>
              <w:rPr>
                <w:color w:val="auto"/>
                <w:highlight w:val="none"/>
              </w:rPr>
            </w:r>
          </w:p>
        </w:tc>
      </w:tr>
      <w:tr>
        <w:trPr>
          <w:cantSplit/>
          <w:trHeight w:val="812"/>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rPr>
                <w:color w:val="auto"/>
                <w:highlight w:val="none"/>
              </w:rP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rPr>
                <w:color w:val="auto"/>
                <w:highlight w:val="none"/>
              </w:rP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rPr>
                <w:color w:val="auto"/>
                <w:highlight w:val="none"/>
              </w:rP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2"/>
                <w:rFonts w:hint="eastAsia" w:ascii="宋体" w:hAnsi="宋体" w:cs="宋体"/>
                <w:color w:val="auto"/>
                <w:sz w:val="24"/>
                <w:szCs w:val="24"/>
                <w:highlight w:val="none"/>
              </w:rPr>
              <w:t xml:space="preserve">。</w:t>
            </w:r>
            <w:r>
              <w:rPr>
                <w:rFonts w:hint="eastAsia" w:ascii="宋体" w:hAnsi="宋体" w:cs="宋体"/>
                <w:color w:val="auto"/>
                <w:highlight w:val="none"/>
              </w:rPr>
            </w:r>
            <w:r>
              <w:rPr>
                <w:color w:val="auto"/>
                <w:highlight w:val="none"/>
              </w:rP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rPr>
                <w:color w:val="auto"/>
                <w:highlight w:val="none"/>
              </w:rP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rPr>
                <w:color w:val="auto"/>
                <w:highlight w:val="none"/>
              </w:rPr>
            </w:r>
          </w:p>
        </w:tc>
        <w:tc>
          <w:tcPr>
            <w:tcW w:w="6104" w:type="dxa"/>
            <w:vAlign w:val="center"/>
            <w:textDirection w:val="lrTb"/>
            <w:noWrap w:val="false"/>
          </w:tcPr>
          <w:p>
            <w:pPr>
              <w:pStyle w:val="99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rPr>
                <w:color w:val="auto"/>
                <w:highlight w:val="none"/>
              </w:rP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9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rPr>
                <w:color w:val="auto"/>
                <w:highlight w:val="none"/>
              </w:rPr>
            </w:r>
          </w:p>
        </w:tc>
        <w:tc>
          <w:tcPr>
            <w:tcBorders>
              <w:bottom w:val="single" w:color="000000" w:sz="4" w:space="0"/>
            </w:tcBorders>
            <w:tcW w:w="6104" w:type="dxa"/>
            <w:vAlign w:val="center"/>
            <w:textDirection w:val="lrTb"/>
            <w:noWrap w:val="false"/>
          </w:tcPr>
          <w:p>
            <w:pPr>
              <w:pStyle w:val="993"/>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rPr>
                <w:color w:val="auto"/>
                <w:highlight w:val="none"/>
              </w:rPr>
            </w:r>
          </w:p>
        </w:tc>
        <w:tc>
          <w:tcPr>
            <w:tcW w:w="2449" w:type="dxa"/>
            <w:vAlign w:val="center"/>
            <w:vMerge w:val="continue"/>
            <w:textDirection w:val="lrTb"/>
            <w:noWrap w:val="false"/>
          </w:tcPr>
          <w:p>
            <w:pPr>
              <w:pStyle w:val="993"/>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93"/>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rPr>
                <w:color w:val="auto"/>
                <w:highlight w:val="none"/>
              </w:rPr>
            </w:r>
          </w:p>
        </w:tc>
        <w:tc>
          <w:tcPr>
            <w:tcW w:w="6104" w:type="dxa"/>
            <w:vAlign w:val="center"/>
            <w:textDirection w:val="lrTb"/>
            <w:noWrap w:val="false"/>
          </w:tcPr>
          <w:p>
            <w:pPr>
              <w:pStyle w:val="993"/>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的</w:t>
            </w:r>
            <w:r>
              <w:rPr>
                <w:rFonts w:hint="eastAsia" w:ascii="宋体" w:hAnsi="宋体" w:cs="宋体"/>
                <w:color w:val="auto"/>
                <w:highlight w:val="none"/>
              </w:rPr>
              <w:t xml:space="preserve">证明文件</w:t>
            </w:r>
            <w:r>
              <w:rPr>
                <w:rFonts w:hint="eastAsia" w:ascii="宋体" w:hAnsi="宋体" w:cs="宋体"/>
                <w:color w:val="auto"/>
                <w:highlight w:val="none"/>
              </w:rPr>
              <w:t xml:space="preserve">（如有</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要求</w:t>
            </w:r>
            <w:r>
              <w:rPr>
                <w:rFonts w:hint="eastAsia" w:ascii="宋体" w:hAnsi="宋体" w:cs="宋体"/>
                <w:color w:val="auto"/>
                <w:highlight w:val="none"/>
              </w:rPr>
              <w:t xml:space="preserve">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rPr>
            </w:r>
            <w:r>
              <w:rPr>
                <w:color w:val="auto"/>
                <w:highlight w:val="none"/>
              </w:rPr>
            </w:r>
          </w:p>
        </w:tc>
        <w:tc>
          <w:tcPr>
            <w:tcW w:w="2449" w:type="dxa"/>
            <w:vAlign w:val="center"/>
            <w:textDirection w:val="lrTb"/>
            <w:noWrap w:val="false"/>
          </w:tcPr>
          <w:p>
            <w:pPr>
              <w:pStyle w:val="993"/>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rPr>
                <w:rFonts w:ascii="宋体" w:hAnsi="宋体" w:cs="宋体"/>
                <w:color w:val="auto"/>
                <w:highlight w:val="none"/>
              </w:rPr>
            </w:r>
            <w:r>
              <w:rPr>
                <w:color w:val="auto"/>
                <w:highlight w:val="none"/>
              </w:rPr>
            </w:r>
          </w:p>
        </w:tc>
      </w:tr>
      <w:tr>
        <w:trPr>
          <w:trHeight w:val="726"/>
        </w:trPr>
        <w:tc>
          <w:tcPr>
            <w:tcW w:w="719" w:type="dxa"/>
            <w:vAlign w:val="center"/>
            <w:textDirection w:val="lrTb"/>
            <w:noWrap w:val="false"/>
          </w:tcPr>
          <w:p>
            <w:pPr>
              <w:pStyle w:val="993"/>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rPr>
                <w:rFonts w:hint="eastAsia" w:ascii="宋体" w:hAnsi="宋体" w:cs="宋体"/>
                <w:bCs/>
                <w:color w:val="auto"/>
                <w:highlight w:val="none"/>
              </w:rPr>
            </w:r>
            <w:r>
              <w:rPr>
                <w:color w:val="auto"/>
                <w:highlight w:val="none"/>
              </w:rPr>
            </w:r>
          </w:p>
        </w:tc>
        <w:tc>
          <w:tcPr>
            <w:tcW w:w="6104" w:type="dxa"/>
            <w:vAlign w:val="center"/>
            <w:textDirection w:val="lrTb"/>
            <w:noWrap w:val="false"/>
          </w:tcPr>
          <w:p>
            <w:pPr>
              <w:pStyle w:val="993"/>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bCs/>
                <w:color w:val="auto"/>
                <w:highlight w:val="none"/>
              </w:rPr>
            </w:r>
            <w:r>
              <w:rPr>
                <w:color w:val="auto"/>
                <w:highlight w:val="none"/>
              </w:rPr>
            </w:r>
          </w:p>
        </w:tc>
        <w:tc>
          <w:tcPr>
            <w:tcW w:w="2449" w:type="dxa"/>
            <w:vAlign w:val="center"/>
            <w:textDirection w:val="lrTb"/>
            <w:noWrap w:val="false"/>
          </w:tcPr>
          <w:p>
            <w:pPr>
              <w:pStyle w:val="993"/>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rPr>
              <w:t xml:space="preserve">，</w:t>
            </w:r>
            <w:r>
              <w:rPr>
                <w:rFonts w:hint="eastAsia" w:ascii="宋体" w:hAnsi="宋体" w:cs="宋体"/>
                <w:color w:val="auto"/>
                <w:highlight w:val="none"/>
              </w:rPr>
              <w:t xml:space="preserve">详见第一章《投标邀请》</w:t>
            </w:r>
            <w:r>
              <w:rPr>
                <w:rFonts w:hint="eastAsia" w:ascii="宋体" w:hAnsi="宋体" w:cs="宋体"/>
                <w:bCs/>
                <w:color w:val="auto"/>
                <w:highlight w:val="none"/>
              </w:rPr>
            </w:r>
            <w:r>
              <w:rPr>
                <w:color w:val="auto"/>
                <w:highlight w:val="none"/>
              </w:rPr>
            </w:r>
          </w:p>
        </w:tc>
      </w:tr>
      <w:tr>
        <w:trPr>
          <w:trHeight w:val="632"/>
        </w:trPr>
        <w:tc>
          <w:tcPr>
            <w:tcW w:w="719" w:type="dxa"/>
            <w:vAlign w:val="center"/>
            <w:textDirection w:val="lrTb"/>
            <w:noWrap w:val="false"/>
          </w:tcPr>
          <w:p>
            <w:pPr>
              <w:pStyle w:val="993"/>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rPr>
                <w:color w:val="auto"/>
                <w:highlight w:val="none"/>
              </w:rPr>
            </w:r>
          </w:p>
        </w:tc>
        <w:tc>
          <w:tcPr>
            <w:gridSpan w:val="2"/>
            <w:tcW w:w="8553" w:type="dxa"/>
            <w:vAlign w:val="center"/>
            <w:textDirection w:val="lrTb"/>
            <w:noWrap w:val="false"/>
          </w:tcPr>
          <w:p>
            <w:pPr>
              <w:pStyle w:val="993"/>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rPr>
                <w:rFonts w:hint="eastAsia" w:ascii="宋体" w:hAnsi="宋体" w:cs="宋体"/>
                <w:color w:val="auto"/>
                <w:highlight w:val="none"/>
              </w:rPr>
            </w:r>
            <w:r>
              <w:rPr>
                <w:color w:val="auto"/>
                <w:highlight w:val="none"/>
              </w:rPr>
            </w:r>
          </w:p>
        </w:tc>
      </w:tr>
    </w:tbl>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05"/>
        <w:numPr>
          <w:ilvl w:val="0"/>
          <w:numId w:val="10"/>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color w:val="auto"/>
          <w:sz w:val="24"/>
          <w:szCs w:val="24"/>
          <w:highlight w:val="none"/>
        </w:rPr>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highlight w:val="none"/>
        </w:rPr>
      </w:r>
    </w:p>
    <w:p>
      <w:pPr>
        <w:pStyle w:val="905"/>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w:t>
      </w:r>
      <w:r>
        <w:rPr>
          <w:rFonts w:hint="eastAsia" w:ascii="宋体" w:hAnsi="宋体"/>
          <w:color w:val="auto"/>
          <w:sz w:val="24"/>
          <w:szCs w:val="24"/>
          <w:highlight w:val="none"/>
        </w:rPr>
        <w:t xml:space="preserve">落实政府采购政策需满足的资格要求中</w:t>
      </w:r>
      <w:r>
        <w:rPr>
          <w:rFonts w:hint="eastAsia" w:ascii="宋体" w:hAnsi="宋体"/>
          <w:color w:val="auto"/>
          <w:sz w:val="24"/>
          <w:szCs w:val="24"/>
          <w:highlight w:val="none"/>
        </w:rPr>
        <w:t xml:space="preserve">有</w:t>
      </w:r>
      <w:r>
        <w:rPr>
          <w:rFonts w:hint="eastAsia" w:ascii="宋体" w:hAnsi="宋体"/>
          <w:color w:val="auto"/>
          <w:sz w:val="24"/>
          <w:szCs w:val="24"/>
          <w:highlight w:val="none"/>
        </w:rPr>
        <w:t xml:space="preserve">中小企业政策</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的（详见第一章《投标邀请》），必须提供相应证明文件，否则投标文件无效。</w:t>
      </w:r>
      <w:r>
        <w:rPr>
          <w:color w:val="auto"/>
          <w:highlight w:val="none"/>
        </w:rPr>
      </w:r>
    </w:p>
    <w:p>
      <w:pPr>
        <w:pStyle w:val="905"/>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小</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微</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企业、监狱企业或残疾人福利性单位；专门面向小微企业，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专门面向小型、微型企业</w:t>
      </w:r>
      <w:r>
        <w:rPr>
          <w:rFonts w:hint="eastAsia" w:ascii="宋体" w:hAnsi="宋体"/>
          <w:color w:val="auto"/>
          <w:sz w:val="24"/>
          <w:szCs w:val="24"/>
          <w:highlight w:val="none"/>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auto"/>
          <w:sz w:val="24"/>
          <w:szCs w:val="24"/>
          <w:highlight w:val="none"/>
        </w:rPr>
      </w:r>
      <w:r>
        <w:rPr>
          <w:color w:val="auto"/>
          <w:highlight w:val="none"/>
        </w:rPr>
      </w:r>
    </w:p>
    <w:p>
      <w:pPr>
        <w:pStyle w:val="905"/>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项，如本项目有特定资格要求的（详见第一章《投标邀请》），须提供相应的特定资格证明文件。</w:t>
      </w:r>
      <w:r>
        <w:rPr>
          <w:color w:val="auto"/>
          <w:highlight w:val="none"/>
        </w:rPr>
      </w:r>
    </w:p>
    <w:p>
      <w:pPr>
        <w:pStyle w:val="905"/>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auto"/>
          <w:highlight w:val="none"/>
        </w:rPr>
      </w:r>
    </w:p>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w:t>
      </w: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（如有</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项，联合体各方均须提供。</w:t>
      </w:r>
      <w:r>
        <w:rPr>
          <w:rFonts w:hint="eastAsia" w:ascii="宋体" w:hAnsi="宋体"/>
          <w:color w:val="auto"/>
          <w:sz w:val="24"/>
          <w:szCs w:val="24"/>
          <w:highlight w:val="none"/>
        </w:rPr>
      </w:r>
      <w:r>
        <w:rPr>
          <w:color w:val="auto"/>
          <w:highlight w:val="none"/>
        </w:rPr>
      </w:r>
    </w:p>
    <w:p>
      <w:pPr>
        <w:pStyle w:val="905"/>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w:t>
      </w:r>
      <w:r>
        <w:rPr>
          <w:rFonts w:hint="eastAsia"/>
          <w:b/>
          <w:color w:val="auto"/>
          <w:sz w:val="28"/>
          <w:szCs w:val="28"/>
          <w:highlight w:val="none"/>
        </w:rPr>
        <w:t xml:space="preserve">及其他证明文件</w:t>
      </w:r>
      <w:r>
        <w:rPr>
          <w:rFonts w:hint="eastAsia"/>
          <w:b/>
          <w:color w:val="auto"/>
          <w:sz w:val="28"/>
          <w:szCs w:val="28"/>
          <w:highlight w:val="none"/>
        </w:rPr>
      </w:r>
      <w:r>
        <w:rPr>
          <w:color w:val="auto"/>
          <w:highlight w:val="none"/>
        </w:rPr>
      </w:r>
    </w:p>
    <w:p>
      <w:pPr>
        <w:pStyle w:val="905"/>
        <w:rPr>
          <w:b/>
          <w:color w:val="auto"/>
          <w:sz w:val="28"/>
          <w:szCs w:val="28"/>
          <w:highlight w:val="none"/>
        </w:rPr>
      </w:pPr>
      <w:r>
        <w:rPr>
          <w:rFonts w:hint="eastAsia"/>
          <w:b/>
          <w:color w:val="auto"/>
          <w:sz w:val="28"/>
          <w:szCs w:val="28"/>
          <w:highlight w:val="none"/>
        </w:rPr>
        <w:t xml:space="preserve">（一）符合性证明文件</w:t>
      </w:r>
      <w:r>
        <w:rPr>
          <w:b/>
          <w:color w:val="auto"/>
          <w:sz w:val="28"/>
          <w:szCs w:val="28"/>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93"/>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rPr>
                <w:color w:val="auto"/>
                <w:highlight w:val="none"/>
              </w:rPr>
            </w:r>
          </w:p>
        </w:tc>
        <w:tc>
          <w:tcPr>
            <w:tcW w:w="6095" w:type="dxa"/>
            <w:vAlign w:val="center"/>
            <w:textDirection w:val="lrTb"/>
            <w:noWrap w:val="false"/>
          </w:tcPr>
          <w:p>
            <w:pPr>
              <w:pStyle w:val="993"/>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rFonts w:hint="eastAsia" w:cs="Arial"/>
                <w:b/>
                <w:color w:val="auto"/>
                <w:highlight w:val="none"/>
              </w:rPr>
            </w:r>
            <w:r>
              <w:rPr>
                <w:color w:val="auto"/>
                <w:highlight w:val="none"/>
              </w:rPr>
            </w:r>
          </w:p>
        </w:tc>
        <w:tc>
          <w:tcPr>
            <w:tcW w:w="1979" w:type="dxa"/>
            <w:vAlign w:val="center"/>
            <w:textDirection w:val="lrTb"/>
            <w:noWrap w:val="false"/>
          </w:tcPr>
          <w:p>
            <w:pPr>
              <w:pStyle w:val="993"/>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rPr>
                <w:color w:val="auto"/>
                <w:highlight w:val="none"/>
              </w:rP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rPr>
                <w:color w:val="auto"/>
                <w:highlight w:val="none"/>
              </w:rPr>
            </w:r>
          </w:p>
        </w:tc>
        <w:tc>
          <w:tcPr>
            <w:tcW w:w="6095" w:type="dxa"/>
            <w:vAlign w:val="center"/>
            <w:textDirection w:val="lrTb"/>
            <w:noWrap w:val="false"/>
          </w:tcPr>
          <w:p>
            <w:pPr>
              <w:pStyle w:val="993"/>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rPr>
                <w:color w:val="auto"/>
                <w:highlight w:val="none"/>
              </w:rPr>
            </w:r>
          </w:p>
        </w:tc>
        <w:tc>
          <w:tcPr>
            <w:tcW w:w="1979" w:type="dxa"/>
            <w:vAlign w:val="center"/>
            <w:vMerge w:val="restart"/>
            <w:textDirection w:val="lrTb"/>
            <w:noWrap w:val="false"/>
          </w:tcPr>
          <w:p>
            <w:pPr>
              <w:pStyle w:val="993"/>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rPr>
                <w:color w:val="auto"/>
                <w:highlight w:val="none"/>
              </w:rP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rPr>
                <w:color w:val="auto"/>
                <w:highlight w:val="none"/>
              </w:rPr>
            </w:r>
          </w:p>
        </w:tc>
        <w:tc>
          <w:tcPr>
            <w:tcW w:w="6095" w:type="dxa"/>
            <w:vAlign w:val="center"/>
            <w:textDirection w:val="lrTb"/>
            <w:noWrap w:val="false"/>
          </w:tcPr>
          <w:p>
            <w:pPr>
              <w:pStyle w:val="993"/>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rPr>
                <w:color w:val="auto"/>
                <w:highlight w:val="none"/>
              </w:rPr>
            </w:r>
          </w:p>
        </w:tc>
        <w:tc>
          <w:tcPr>
            <w:tcW w:w="1979"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rPr>
                <w:color w:val="auto"/>
                <w:highlight w:val="none"/>
              </w:rPr>
            </w:r>
          </w:p>
        </w:tc>
        <w:tc>
          <w:tcPr>
            <w:tcW w:w="6095" w:type="dxa"/>
            <w:vAlign w:val="center"/>
            <w:textDirection w:val="lrTb"/>
            <w:noWrap w:val="false"/>
          </w:tcPr>
          <w:p>
            <w:pPr>
              <w:pStyle w:val="993"/>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color w:val="auto"/>
                <w:highlight w:val="none"/>
              </w:rPr>
              <w:t xml:space="preserve">“苏采云”系统中</w:t>
            </w:r>
            <w:r>
              <w:rPr>
                <w:rFonts w:hint="eastAsia" w:ascii="宋体" w:hAnsi="宋体"/>
                <w:color w:val="auto"/>
                <w:highlight w:val="none"/>
              </w:rPr>
              <w:t xml:space="preserve">给定格式</w:t>
            </w:r>
            <w:r>
              <w:rPr>
                <w:rFonts w:hint="eastAsia" w:ascii="宋体" w:hAnsi="宋体"/>
                <w:color w:val="auto"/>
                <w:highlight w:val="none"/>
              </w:rPr>
              <w:t xml:space="preserve">）</w:t>
            </w:r>
            <w:r>
              <w:rPr>
                <w:rFonts w:hint="eastAsia" w:ascii="宋体" w:hAnsi="宋体" w:cs="Arial"/>
                <w:color w:val="auto"/>
                <w:highlight w:val="none"/>
              </w:rPr>
            </w:r>
            <w:r>
              <w:rPr>
                <w:color w:val="auto"/>
                <w:highlight w:val="none"/>
              </w:rPr>
            </w:r>
          </w:p>
        </w:tc>
        <w:tc>
          <w:tcPr>
            <w:tcW w:w="1979" w:type="dxa"/>
            <w:vAlign w:val="center"/>
            <w:vMerge w:val="restart"/>
            <w:textDirection w:val="lrTb"/>
            <w:noWrap w:val="false"/>
          </w:tcPr>
          <w:p>
            <w:pPr>
              <w:pStyle w:val="993"/>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rPr>
                <w:color w:val="auto"/>
                <w:highlight w:val="none"/>
              </w:rP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rPr>
                <w:color w:val="auto"/>
                <w:highlight w:val="none"/>
              </w:rPr>
            </w:r>
          </w:p>
        </w:tc>
        <w:tc>
          <w:tcPr>
            <w:tcW w:w="6095" w:type="dxa"/>
            <w:vAlign w:val="center"/>
            <w:textDirection w:val="lrTb"/>
            <w:noWrap w:val="false"/>
          </w:tcPr>
          <w:p>
            <w:pPr>
              <w:pStyle w:val="993"/>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rPr>
                <w:rFonts w:hint="eastAsia" w:ascii="宋体" w:hAnsi="宋体" w:cs="Arial"/>
                <w:color w:val="auto"/>
                <w:highlight w:val="none"/>
              </w:rPr>
            </w:r>
            <w:r>
              <w:rPr>
                <w:color w:val="auto"/>
                <w:highlight w:val="none"/>
              </w:rPr>
            </w:r>
          </w:p>
        </w:tc>
        <w:tc>
          <w:tcPr>
            <w:tcW w:w="1979"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rPr>
                <w:color w:val="auto"/>
                <w:highlight w:val="none"/>
              </w:rPr>
            </w:r>
          </w:p>
        </w:tc>
        <w:tc>
          <w:tcPr>
            <w:tcW w:w="6095" w:type="dxa"/>
            <w:vAlign w:val="center"/>
            <w:textDirection w:val="lrTb"/>
            <w:noWrap w:val="false"/>
          </w:tcPr>
          <w:p>
            <w:pPr>
              <w:pStyle w:val="99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rPr>
                <w:rFonts w:ascii="宋体" w:hAnsi="宋体" w:cs="Arial"/>
                <w:color w:val="auto"/>
                <w:highlight w:val="none"/>
              </w:rPr>
            </w:r>
            <w:r>
              <w:rPr>
                <w:color w:val="auto"/>
                <w:highlight w:val="none"/>
              </w:rPr>
            </w:r>
          </w:p>
        </w:tc>
        <w:tc>
          <w:tcPr>
            <w:tcW w:w="1979" w:type="dxa"/>
            <w:vAlign w:val="center"/>
            <w:vMerge w:val="restart"/>
            <w:textDirection w:val="lrTb"/>
            <w:noWrap w:val="false"/>
          </w:tcPr>
          <w:p>
            <w:pPr>
              <w:pStyle w:val="993"/>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rPr>
                <w:color w:val="auto"/>
                <w:highlight w:val="none"/>
              </w:rPr>
            </w:r>
          </w:p>
        </w:tc>
      </w:tr>
      <w:tr>
        <w:trPr>
          <w:cantSplit/>
          <w:trHeight w:val="567"/>
        </w:trPr>
        <w:tc>
          <w:tcPr>
            <w:tcW w:w="823" w:type="dxa"/>
            <w:vAlign w:val="center"/>
            <w:textDirection w:val="lrTb"/>
            <w:noWrap w:val="false"/>
          </w:tcPr>
          <w:p>
            <w:pPr>
              <w:pStyle w:val="993"/>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rPr>
                <w:color w:val="auto"/>
                <w:highlight w:val="none"/>
              </w:rPr>
            </w:r>
          </w:p>
        </w:tc>
        <w:tc>
          <w:tcPr>
            <w:tcW w:w="6095" w:type="dxa"/>
            <w:vAlign w:val="center"/>
            <w:textDirection w:val="lrTb"/>
            <w:noWrap w:val="false"/>
          </w:tcPr>
          <w:p>
            <w:pPr>
              <w:pStyle w:val="993"/>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rPr>
                <w:color w:val="auto"/>
                <w:highlight w:val="none"/>
              </w:rPr>
            </w:r>
          </w:p>
        </w:tc>
        <w:tc>
          <w:tcPr>
            <w:tcW w:w="1979" w:type="dxa"/>
            <w:vAlign w:val="center"/>
            <w:vMerge w:val="continue"/>
            <w:textDirection w:val="lrTb"/>
            <w:noWrap w:val="false"/>
          </w:tcPr>
          <w:p>
            <w:pPr>
              <w:pStyle w:val="993"/>
              <w:ind w:firstLine="0"/>
              <w:jc w:val="center"/>
              <w:spacing w:before="0" w:after="0" w:line="240" w:lineRule="auto"/>
              <w:rPr>
                <w:rFonts w:hint="eastAsia" w:cs="Arial"/>
              </w:rPr>
            </w:pPr>
            <w:r>
              <w:rPr>
                <w:rFonts w:hint="eastAsia" w:cs="Arial"/>
              </w:rPr>
            </w:r>
            <w:r/>
          </w:p>
        </w:tc>
      </w:tr>
    </w:tbl>
    <w:p>
      <w:pPr>
        <w:pStyle w:val="905"/>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05"/>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w:t>
      </w:r>
      <w:r>
        <w:rPr>
          <w:rFonts w:hint="eastAsia" w:cs="Arial"/>
          <w:color w:val="auto"/>
          <w:sz w:val="24"/>
          <w:szCs w:val="24"/>
          <w:highlight w:val="none"/>
        </w:rPr>
        <w:t xml:space="preserve">第</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rPr>
          <w:color w:val="auto"/>
          <w:highlight w:val="none"/>
        </w:rPr>
      </w:r>
    </w:p>
    <w:p>
      <w:pPr>
        <w:pStyle w:val="905"/>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w:t>
      </w:r>
      <w:r>
        <w:rPr>
          <w:rFonts w:hint="eastAsia" w:ascii="宋体" w:hAnsi="宋体" w:cs="Arial"/>
          <w:color w:val="auto"/>
          <w:sz w:val="24"/>
          <w:szCs w:val="24"/>
          <w:highlight w:val="none"/>
        </w:rPr>
        <w:t xml:space="preserve">的</w:t>
      </w:r>
      <w:r>
        <w:rPr>
          <w:rFonts w:hint="eastAsia" w:ascii="宋体" w:hAnsi="宋体" w:cs="Arial"/>
          <w:color w:val="auto"/>
          <w:sz w:val="24"/>
          <w:szCs w:val="24"/>
          <w:highlight w:val="none"/>
        </w:rPr>
        <w:t xml:space="preserve">，须按要求提供，否则投标文件无效。</w:t>
      </w:r>
      <w:r>
        <w:rPr>
          <w:rFonts w:hint="eastAsia" w:ascii="宋体" w:hAnsi="宋体"/>
          <w:color w:val="auto"/>
          <w:sz w:val="24"/>
          <w:szCs w:val="24"/>
          <w:highlight w:val="none"/>
        </w:rPr>
      </w:r>
      <w:r>
        <w:rPr>
          <w:color w:val="auto"/>
          <w:highlight w:val="none"/>
        </w:rPr>
      </w:r>
    </w:p>
    <w:p>
      <w:pPr>
        <w:pStyle w:val="905"/>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w:t>
      </w:r>
      <w:r>
        <w:rPr>
          <w:rFonts w:hint="eastAsia" w:ascii="宋体" w:hAnsi="宋体" w:cs="宋体"/>
          <w:color w:val="auto"/>
          <w:sz w:val="24"/>
          <w:szCs w:val="24"/>
          <w:highlight w:val="none"/>
        </w:rPr>
        <w:t xml:space="preserve">第6项按《采购需求》中的相应要求</w:t>
      </w:r>
      <w:r>
        <w:rPr>
          <w:rFonts w:hint="eastAsia" w:ascii="宋体" w:hAnsi="宋体" w:cs="宋体"/>
          <w:color w:val="auto"/>
          <w:sz w:val="24"/>
          <w:szCs w:val="24"/>
          <w:highlight w:val="none"/>
        </w:rPr>
        <w:t xml:space="preserve">（如有）进行</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r>
      <w:r>
        <w:rPr>
          <w:color w:val="auto"/>
          <w:highlight w:val="none"/>
        </w:rPr>
      </w:r>
    </w:p>
    <w:p>
      <w:pPr>
        <w:pStyle w:val="905"/>
        <w:rPr>
          <w:rFonts w:hint="eastAsia"/>
          <w:b/>
          <w:color w:val="auto"/>
          <w:sz w:val="28"/>
          <w:szCs w:val="28"/>
          <w:highlight w:val="none"/>
        </w:rPr>
      </w:pPr>
      <w:r>
        <w:rPr>
          <w:rFonts w:hint="eastAsia"/>
          <w:b/>
          <w:color w:val="auto"/>
          <w:sz w:val="28"/>
          <w:szCs w:val="28"/>
          <w:highlight w:val="none"/>
        </w:rPr>
      </w:r>
      <w:r>
        <w:rPr>
          <w:color w:val="auto"/>
          <w:highlight w:val="none"/>
        </w:rPr>
      </w:r>
    </w:p>
    <w:p>
      <w:pPr>
        <w:pStyle w:val="905"/>
        <w:rPr>
          <w:rFonts w:hint="eastAsia"/>
          <w:b/>
          <w:color w:val="auto"/>
          <w:sz w:val="28"/>
          <w:szCs w:val="28"/>
          <w:highlight w:val="none"/>
        </w:rPr>
      </w:pPr>
      <w:r>
        <w:rPr>
          <w:rFonts w:hint="eastAsia"/>
          <w:b/>
          <w:color w:val="auto"/>
          <w:sz w:val="28"/>
          <w:szCs w:val="28"/>
          <w:highlight w:val="none"/>
        </w:rPr>
        <w:t xml:space="preserve">（二）其他证明文件</w:t>
      </w:r>
      <w:r>
        <w:rPr>
          <w:rFonts w:hint="eastAsia"/>
          <w:b/>
          <w:color w:val="auto"/>
          <w:sz w:val="28"/>
          <w:szCs w:val="28"/>
          <w:highlight w:val="none"/>
        </w:rPr>
      </w:r>
      <w:r>
        <w:rPr>
          <w:color w:val="auto"/>
          <w:highlight w:val="none"/>
        </w:rPr>
      </w:r>
    </w:p>
    <w:p>
      <w:pPr>
        <w:pStyle w:val="905"/>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rPr>
          <w:color w:val="auto"/>
          <w:highlight w:val="none"/>
        </w:rPr>
      </w:r>
    </w:p>
    <w:p>
      <w:pPr>
        <w:pStyle w:val="905"/>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rPr>
          <w:color w:val="auto"/>
          <w:highlight w:val="none"/>
        </w:rPr>
      </w:r>
    </w:p>
    <w:p>
      <w:pPr>
        <w:pStyle w:val="905"/>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rPr>
          <w:color w:val="auto"/>
          <w:highlight w:val="none"/>
        </w:rPr>
      </w:r>
    </w:p>
    <w:p>
      <w:pPr>
        <w:pStyle w:val="993"/>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w:t>
      </w:r>
      <w:r>
        <w:rPr>
          <w:rFonts w:hint="eastAsia" w:cs="Arial"/>
          <w:b/>
          <w:color w:val="auto"/>
          <w:sz w:val="28"/>
          <w:szCs w:val="28"/>
          <w:highlight w:val="none"/>
        </w:rPr>
        <w:t xml:space="preserve">（参考格式）</w:t>
      </w:r>
      <w:r>
        <w:rPr>
          <w:rFonts w:hint="eastAsia" w:cs="Arial"/>
          <w:b/>
          <w:color w:val="auto"/>
          <w:sz w:val="28"/>
          <w:szCs w:val="28"/>
          <w:highlight w:val="none"/>
        </w:rPr>
        <w:t xml:space="preserve">：</w:t>
      </w:r>
      <w:r>
        <w:rPr>
          <w:rFonts w:cs="Arial"/>
          <w:b/>
          <w:color w:val="auto"/>
          <w:sz w:val="28"/>
          <w:szCs w:val="28"/>
          <w:highlight w:val="none"/>
        </w:rPr>
      </w:r>
      <w:r>
        <w:rPr>
          <w:color w:val="auto"/>
          <w:highlight w:val="none"/>
        </w:rPr>
      </w:r>
    </w:p>
    <w:p>
      <w:pPr>
        <w:pStyle w:val="905"/>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5"/>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5"/>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rPr>
          <w:color w:val="auto"/>
          <w:highlight w:val="none"/>
        </w:rPr>
      </w:r>
    </w:p>
    <w:p>
      <w:pPr>
        <w:pStyle w:val="905"/>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5"/>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5"/>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5"/>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05"/>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rPr>
        <w:t xml:space="preserve">JSZC-320200-JZCG-G2025-0188</w:t>
      </w:r>
      <w:r>
        <w:rPr>
          <w:rFonts w:ascii="黑体" w:hAnsi="华文中宋" w:eastAsia="黑体"/>
          <w:bCs/>
          <w:color w:val="auto"/>
          <w:sz w:val="30"/>
          <w:szCs w:val="30"/>
          <w:highlight w:val="none"/>
        </w:rPr>
      </w:r>
      <w:r>
        <w:rPr>
          <w:color w:val="auto"/>
          <w:highlight w:val="none"/>
        </w:rPr>
      </w:r>
    </w:p>
    <w:p>
      <w:pPr>
        <w:pStyle w:val="905"/>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rPr>
        <w:t xml:space="preserve">无锡市公共机构节能信息化“一张网”监管平台建设项目</w:t>
      </w:r>
      <w:r>
        <w:rPr>
          <w:rFonts w:hint="eastAsia" w:ascii="黑体" w:hAnsi="华文中宋" w:eastAsia="黑体"/>
          <w:bCs/>
          <w:color w:val="auto"/>
          <w:sz w:val="30"/>
          <w:szCs w:val="30"/>
          <w:highlight w:val="none"/>
        </w:rPr>
      </w:r>
      <w:r>
        <w:rPr>
          <w:color w:val="auto"/>
          <w:highlight w:val="none"/>
        </w:rPr>
      </w:r>
    </w:p>
    <w:p>
      <w:pPr>
        <w:pStyle w:val="905"/>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rPr>
          <w:color w:val="auto"/>
          <w:highlight w:val="none"/>
        </w:rPr>
      </w:r>
    </w:p>
    <w:p>
      <w:pPr>
        <w:pStyle w:val="905"/>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rPr>
          <w:rFonts w:ascii="黑体" w:hAnsi="华文中宋" w:eastAsia="黑体"/>
          <w:bCs/>
          <w:color w:val="auto"/>
          <w:sz w:val="30"/>
          <w:szCs w:val="30"/>
          <w:highlight w:val="none"/>
        </w:rPr>
      </w:r>
      <w:r>
        <w:rPr>
          <w:color w:val="auto"/>
          <w:highlight w:val="none"/>
        </w:rPr>
      </w:r>
    </w:p>
    <w:p>
      <w:pPr>
        <w:pStyle w:val="905"/>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rPr>
          <w:rFonts w:hint="eastAsia" w:ascii="Arial" w:hAnsi="Arial"/>
          <w:b/>
          <w:color w:val="auto"/>
          <w:sz w:val="28"/>
          <w:szCs w:val="28"/>
          <w:highlight w:val="none"/>
        </w:rPr>
      </w:r>
      <w:r>
        <w:rPr>
          <w:color w:val="auto"/>
          <w:highlight w:val="none"/>
        </w:rPr>
      </w:r>
    </w:p>
    <w:p>
      <w:pPr>
        <w:pStyle w:val="905"/>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rPr>
          <w:rFonts w:ascii="宋体" w:hAnsi="宋体"/>
          <w:color w:val="auto"/>
          <w:sz w:val="24"/>
          <w:highlight w:val="none"/>
          <w:shd w:val="clear" w:color="ffffff" w:fill="d9d9d9"/>
        </w:rPr>
      </w:r>
      <w:r>
        <w:rPr>
          <w:color w:val="auto"/>
          <w:highlight w:val="none"/>
        </w:rPr>
      </w:r>
    </w:p>
    <w:p>
      <w:pPr>
        <w:pStyle w:val="991"/>
        <w:ind w:firstLine="480"/>
        <w:rPr>
          <w:rFonts w:hint="eastAsia"/>
          <w:color w:val="auto"/>
          <w:sz w:val="24"/>
          <w:szCs w:val="24"/>
          <w:highlight w:val="none"/>
        </w:rPr>
      </w:pPr>
      <w:r>
        <w:rPr>
          <w:rFonts w:hint="eastAsia"/>
          <w:color w:val="auto"/>
          <w:sz w:val="24"/>
          <w:szCs w:val="24"/>
          <w:highlight w:val="none"/>
        </w:rPr>
        <w:t xml:space="preserve">我公司（单位</w:t>
      </w:r>
      <w:r>
        <w:rPr>
          <w:rFonts w:hint="eastAsia"/>
          <w:color w:val="auto"/>
          <w:sz w:val="24"/>
          <w:szCs w:val="24"/>
          <w:highlight w:val="none"/>
        </w:rPr>
        <w:t xml:space="preserve">、联合体</w:t>
      </w:r>
      <w:r>
        <w:rPr>
          <w:rFonts w:hint="eastAsia"/>
          <w:color w:val="auto"/>
          <w:sz w:val="24"/>
          <w:szCs w:val="24"/>
          <w:highlight w:val="none"/>
        </w:rPr>
        <w:t xml:space="preserve">）针对</w:t>
      </w:r>
      <w:r>
        <w:rPr>
          <w:rFonts w:hint="eastAsia" w:ascii="宋体" w:hAnsi="宋体"/>
          <w:bCs/>
          <w:color w:val="auto"/>
          <w:sz w:val="24"/>
          <w:szCs w:val="24"/>
          <w:highlight w:val="none"/>
        </w:rPr>
        <w:t xml:space="preserve">JSZC-320200-JZCG-G2025-0188</w:t>
      </w:r>
      <w:r>
        <w:rPr>
          <w:rFonts w:hint="eastAsia" w:ascii="宋体" w:hAnsi="宋体"/>
          <w:bCs/>
          <w:color w:val="auto"/>
          <w:sz w:val="24"/>
          <w:szCs w:val="24"/>
          <w:highlight w:val="none"/>
        </w:rPr>
        <w:t xml:space="preserve">项目，兹授权：</w:t>
      </w:r>
      <w:r>
        <w:rPr>
          <w:rFonts w:hint="eastAsia"/>
          <w:color w:val="auto"/>
          <w:sz w:val="24"/>
          <w:szCs w:val="24"/>
          <w:highlight w:val="none"/>
        </w:rPr>
      </w:r>
      <w:r>
        <w:rPr>
          <w:color w:val="auto"/>
          <w:highlight w:val="none"/>
        </w:rPr>
      </w:r>
    </w:p>
    <w:p>
      <w:pPr>
        <w:pStyle w:val="991"/>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991"/>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991"/>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rPr>
          <w:color w:val="auto"/>
          <w:highlight w:val="none"/>
        </w:rPr>
      </w:r>
    </w:p>
    <w:p>
      <w:pPr>
        <w:pStyle w:val="991"/>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rPr>
          <w:color w:val="auto"/>
          <w:highlight w:val="none"/>
        </w:rPr>
      </w:r>
    </w:p>
    <w:p>
      <w:pPr>
        <w:pStyle w:val="991"/>
        <w:ind w:firstLine="480"/>
        <w:rPr>
          <w:rFonts w:hint="eastAsia"/>
          <w:color w:val="auto"/>
          <w:sz w:val="24"/>
          <w:szCs w:val="24"/>
          <w:highlight w:val="none"/>
        </w:rPr>
      </w:pPr>
      <w:r>
        <w:rPr>
          <w:rFonts w:hint="eastAsia"/>
          <w:color w:val="auto"/>
          <w:sz w:val="24"/>
          <w:szCs w:val="24"/>
          <w:highlight w:val="none"/>
        </w:rPr>
        <w:t xml:space="preserve">特此授权委托。</w:t>
      </w:r>
      <w:r>
        <w:rPr>
          <w:color w:val="auto"/>
          <w:highlight w:val="none"/>
        </w:rPr>
      </w:r>
    </w:p>
    <w:p>
      <w:pPr>
        <w:pStyle w:val="991"/>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rPr>
          <w:rFonts w:hint="eastAsia"/>
          <w:color w:val="auto"/>
          <w:sz w:val="24"/>
          <w:szCs w:val="24"/>
          <w:highlight w:val="none"/>
          <w:u w:val="single"/>
        </w:rPr>
      </w:r>
      <w:r>
        <w:rPr>
          <w:color w:val="auto"/>
          <w:highlight w:val="none"/>
        </w:rPr>
      </w:r>
    </w:p>
    <w:p>
      <w:pPr>
        <w:pStyle w:val="991"/>
        <w:ind w:firstLine="0"/>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r>
      <w:r>
        <w:rPr>
          <w:color w:val="auto"/>
          <w:highlight w:val="none"/>
        </w:rPr>
      </w:r>
    </w:p>
    <w:p>
      <w:pPr>
        <w:pStyle w:val="991"/>
        <w:ind w:firstLine="0"/>
        <w:rPr>
          <w:rFonts w:hint="eastAsia"/>
          <w:color w:val="auto"/>
          <w:sz w:val="24"/>
          <w:szCs w:val="24"/>
          <w:highlight w:val="none"/>
        </w:rPr>
      </w:pPr>
      <w:r>
        <w:rPr>
          <w:rFonts w:hint="eastAsia" w:ascii="宋体" w:hAnsi="宋体" w:cs="宋体"/>
          <w:b/>
          <w:color w:val="auto"/>
          <w:szCs w:val="28"/>
          <w:highlight w:val="none"/>
          <w:u w:val="single"/>
        </w:rPr>
        <w:t xml:space="preserve">投标</w:t>
      </w:r>
      <w:r>
        <w:rPr>
          <w:rFonts w:hint="eastAsia" w:ascii="宋体" w:hAnsi="宋体" w:cs="宋体"/>
          <w:b/>
          <w:color w:val="auto"/>
          <w:szCs w:val="28"/>
          <w:highlight w:val="none"/>
          <w:u w:val="single"/>
        </w:rPr>
        <w:t xml:space="preserve">文件中</w:t>
      </w:r>
      <w:r>
        <w:rPr>
          <w:rFonts w:hint="eastAsia" w:ascii="宋体" w:hAnsi="宋体" w:cs="宋体"/>
          <w:b/>
          <w:color w:val="auto"/>
          <w:szCs w:val="28"/>
          <w:highlight w:val="none"/>
          <w:u w:val="single"/>
        </w:rPr>
        <w:t xml:space="preserve">须提供本授权委托书中的</w:t>
      </w:r>
      <w:r>
        <w:rPr>
          <w:rFonts w:hint="eastAsia" w:ascii="宋体" w:hAnsi="宋体" w:cs="宋体"/>
          <w:b/>
          <w:color w:val="auto"/>
          <w:szCs w:val="28"/>
          <w:highlight w:val="none"/>
          <w:u w:val="single"/>
        </w:rPr>
        <w:t xml:space="preserve">被授权人</w:t>
      </w:r>
      <w:r>
        <w:rPr>
          <w:rFonts w:hint="eastAsia" w:ascii="宋体" w:hAnsi="宋体" w:cs="宋体"/>
          <w:b/>
          <w:color w:val="auto"/>
          <w:szCs w:val="28"/>
          <w:highlight w:val="none"/>
          <w:u w:val="single"/>
        </w:rPr>
        <w:t xml:space="preserve">有效</w:t>
      </w:r>
      <w:r>
        <w:rPr>
          <w:rFonts w:hint="eastAsia" w:ascii="宋体" w:hAnsi="宋体" w:cs="宋体"/>
          <w:b/>
          <w:color w:val="auto"/>
          <w:szCs w:val="28"/>
          <w:highlight w:val="none"/>
          <w:u w:val="single"/>
        </w:rPr>
        <w:t xml:space="preserve">身份证</w:t>
      </w:r>
      <w:r>
        <w:rPr>
          <w:rFonts w:hint="eastAsia" w:ascii="宋体" w:hAnsi="宋体" w:cs="宋体"/>
          <w:b/>
          <w:color w:val="auto"/>
          <w:szCs w:val="28"/>
          <w:highlight w:val="none"/>
          <w:u w:val="single"/>
        </w:rPr>
        <w:t xml:space="preserve">复印件；如被授权人为法定代表人（或以下说明所述的单位负责人）时</w:t>
      </w:r>
      <w:r>
        <w:rPr>
          <w:rFonts w:hint="eastAsia" w:ascii="宋体" w:hAnsi="宋体" w:cs="宋体"/>
          <w:b/>
          <w:color w:val="auto"/>
          <w:szCs w:val="28"/>
          <w:highlight w:val="none"/>
          <w:u w:val="single"/>
        </w:rPr>
        <w:t xml:space="preserve">，</w:t>
      </w:r>
      <w:r>
        <w:rPr>
          <w:rFonts w:hint="eastAsia" w:ascii="宋体" w:hAnsi="宋体" w:cs="宋体"/>
          <w:b/>
          <w:color w:val="auto"/>
          <w:szCs w:val="28"/>
          <w:highlight w:val="none"/>
          <w:u w:val="single"/>
        </w:rPr>
        <w:t xml:space="preserve">则提供法定代表人（或以下说明所述的单位负责人）有效身份证复印件。</w:t>
      </w:r>
      <w:r>
        <w:rPr>
          <w:rFonts w:hint="eastAsia"/>
          <w:color w:val="auto"/>
          <w:sz w:val="24"/>
          <w:szCs w:val="24"/>
          <w:highlight w:val="none"/>
        </w:rPr>
      </w:r>
      <w:r>
        <w:rPr>
          <w:color w:val="auto"/>
          <w:highlight w:val="none"/>
        </w:rPr>
      </w:r>
    </w:p>
    <w:p>
      <w:pPr>
        <w:pStyle w:val="991"/>
        <w:ind w:firstLine="0"/>
        <w:rPr>
          <w:rFonts w:hint="eastAsia"/>
          <w:color w:val="auto"/>
          <w:sz w:val="21"/>
          <w:szCs w:val="21"/>
          <w:highlight w:val="none"/>
        </w:rPr>
      </w:pPr>
      <w:r>
        <w:rPr>
          <w:rFonts w:hint="eastAsia"/>
          <w:color w:val="auto"/>
          <w:sz w:val="21"/>
          <w:szCs w:val="21"/>
          <w:highlight w:val="none"/>
        </w:rPr>
      </w:r>
      <w:r>
        <w:rPr>
          <w:color w:val="auto"/>
          <w:highlight w:val="none"/>
        </w:rPr>
      </w:r>
    </w:p>
    <w:p>
      <w:pPr>
        <w:pStyle w:val="991"/>
        <w:ind w:firstLine="0"/>
        <w:spacing w:line="360" w:lineRule="auto"/>
        <w:rPr>
          <w:rFonts w:hint="eastAsia"/>
          <w:color w:val="auto"/>
          <w:sz w:val="21"/>
          <w:szCs w:val="21"/>
          <w:highlight w:val="none"/>
        </w:rPr>
      </w:pPr>
      <w:r>
        <w:rPr>
          <w:rFonts w:hint="eastAsia"/>
          <w:color w:val="auto"/>
          <w:sz w:val="21"/>
          <w:szCs w:val="21"/>
          <w:highlight w:val="none"/>
        </w:rPr>
        <w:t xml:space="preserve">说明：</w:t>
      </w:r>
      <w:r>
        <w:rPr>
          <w:color w:val="auto"/>
          <w:highlight w:val="none"/>
        </w:rPr>
      </w:r>
    </w:p>
    <w:p>
      <w:pPr>
        <w:pStyle w:val="991"/>
        <w:numPr>
          <w:ilvl w:val="0"/>
          <w:numId w:val="12"/>
        </w:num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若</w:t>
      </w:r>
      <w:r>
        <w:rPr>
          <w:rFonts w:hint="eastAsia" w:ascii="宋体" w:hAnsi="宋体"/>
          <w:color w:val="auto"/>
          <w:sz w:val="21"/>
          <w:szCs w:val="21"/>
          <w:highlight w:val="none"/>
        </w:rPr>
        <w:t xml:space="preserve">投标人</w:t>
      </w:r>
      <w:r>
        <w:rPr>
          <w:rFonts w:ascii="宋体" w:hAnsi="宋体"/>
          <w:color w:val="auto"/>
          <w:sz w:val="21"/>
          <w:szCs w:val="21"/>
          <w:highlight w:val="none"/>
        </w:rPr>
        <w:t xml:space="preserve">为事业单位或其他组织或分支机构（仅</w:t>
      </w:r>
      <w:r>
        <w:rPr>
          <w:rFonts w:hint="eastAsia" w:ascii="宋体" w:hAnsi="宋体"/>
          <w:color w:val="auto"/>
          <w:sz w:val="21"/>
          <w:szCs w:val="21"/>
          <w:highlight w:val="none"/>
        </w:rPr>
        <w:t xml:space="preserve">限招标</w:t>
      </w:r>
      <w:r>
        <w:rPr>
          <w:rFonts w:ascii="宋体" w:hAnsi="宋体"/>
          <w:color w:val="auto"/>
          <w:sz w:val="21"/>
          <w:szCs w:val="21"/>
          <w:highlight w:val="none"/>
        </w:rPr>
        <w:t xml:space="preserve">文件注明允许分支机构</w:t>
      </w:r>
      <w:r>
        <w:rPr>
          <w:rFonts w:hint="eastAsia" w:ascii="宋体" w:hAnsi="宋体"/>
          <w:color w:val="auto"/>
          <w:sz w:val="21"/>
          <w:szCs w:val="21"/>
          <w:highlight w:val="none"/>
        </w:rPr>
        <w:t xml:space="preserve">投标情形</w:t>
      </w:r>
      <w:r>
        <w:rPr>
          <w:rFonts w:ascii="宋体" w:hAnsi="宋体"/>
          <w:color w:val="auto"/>
          <w:sz w:val="21"/>
          <w:szCs w:val="21"/>
          <w:highlight w:val="none"/>
        </w:rPr>
        <w:t xml:space="preserve">的），则法定代表人</w:t>
      </w:r>
      <w:r>
        <w:rPr>
          <w:rFonts w:hint="eastAsia" w:ascii="宋体" w:hAnsi="宋体"/>
          <w:color w:val="auto"/>
          <w:sz w:val="21"/>
          <w:szCs w:val="21"/>
          <w:highlight w:val="none"/>
        </w:rPr>
        <w:t xml:space="preserve">处</w:t>
      </w:r>
      <w:r>
        <w:rPr>
          <w:rFonts w:ascii="宋体" w:hAnsi="宋体"/>
          <w:color w:val="auto"/>
          <w:sz w:val="21"/>
          <w:szCs w:val="21"/>
          <w:highlight w:val="none"/>
        </w:rPr>
        <w:t xml:space="preserve">的签</w:t>
      </w:r>
      <w:r>
        <w:rPr>
          <w:rFonts w:hint="eastAsia" w:ascii="宋体" w:hAnsi="宋体"/>
          <w:color w:val="auto"/>
          <w:sz w:val="21"/>
          <w:szCs w:val="21"/>
          <w:highlight w:val="none"/>
        </w:rPr>
        <w:t xml:space="preserve">字</w:t>
      </w:r>
      <w:r>
        <w:rPr>
          <w:rFonts w:ascii="宋体" w:hAnsi="宋体"/>
          <w:color w:val="auto"/>
          <w:sz w:val="21"/>
          <w:szCs w:val="21"/>
          <w:highlight w:val="none"/>
        </w:rPr>
        <w:t xml:space="preserve">人可为单位负责人</w:t>
      </w:r>
      <w:r>
        <w:rPr>
          <w:rFonts w:hint="eastAsia" w:ascii="宋体" w:hAnsi="宋体"/>
          <w:color w:val="auto"/>
          <w:sz w:val="21"/>
          <w:szCs w:val="21"/>
          <w:highlight w:val="none"/>
        </w:rPr>
        <w:t xml:space="preserve">。</w:t>
      </w:r>
      <w:r>
        <w:rPr>
          <w:color w:val="auto"/>
          <w:highlight w:val="none"/>
        </w:rPr>
      </w:r>
    </w:p>
    <w:p>
      <w:pPr>
        <w:pStyle w:val="991"/>
        <w:numPr>
          <w:ilvl w:val="0"/>
          <w:numId w:val="12"/>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当被授权人为法定代表人（或上述情况的单位负责人）时，</w:t>
      </w:r>
      <w:r>
        <w:rPr>
          <w:rFonts w:hint="eastAsia" w:ascii="宋体" w:hAnsi="宋体"/>
          <w:color w:val="auto"/>
          <w:sz w:val="21"/>
          <w:szCs w:val="21"/>
          <w:highlight w:val="none"/>
        </w:rPr>
        <w:t xml:space="preserve">被授权人</w:t>
      </w:r>
      <w:r>
        <w:rPr>
          <w:rFonts w:hint="eastAsia" w:ascii="宋体" w:hAnsi="宋体"/>
          <w:color w:val="auto"/>
          <w:sz w:val="21"/>
          <w:szCs w:val="21"/>
          <w:highlight w:val="none"/>
        </w:rPr>
        <w:t xml:space="preserve">相关内容</w:t>
      </w:r>
      <w:r>
        <w:rPr>
          <w:rFonts w:hint="eastAsia" w:ascii="宋体" w:hAnsi="宋体"/>
          <w:color w:val="auto"/>
          <w:sz w:val="21"/>
          <w:szCs w:val="21"/>
          <w:highlight w:val="none"/>
        </w:rPr>
        <w:t xml:space="preserve">填报为</w:t>
      </w:r>
      <w:r>
        <w:rPr>
          <w:rFonts w:hint="eastAsia" w:ascii="宋体" w:hAnsi="宋体"/>
          <w:color w:val="auto"/>
          <w:sz w:val="21"/>
          <w:szCs w:val="21"/>
          <w:highlight w:val="none"/>
        </w:rPr>
        <w:t xml:space="preserve">法定代表人（或上述情况的单位负责人）</w:t>
      </w:r>
      <w:r>
        <w:rPr>
          <w:rFonts w:hint="eastAsia" w:ascii="宋体" w:hAnsi="宋体"/>
          <w:color w:val="auto"/>
          <w:sz w:val="21"/>
          <w:szCs w:val="21"/>
          <w:highlight w:val="none"/>
        </w:rPr>
        <w:t xml:space="preserve">信息</w:t>
      </w:r>
      <w:r>
        <w:rPr>
          <w:rFonts w:hint="eastAsia"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rPr>
        <w:t xml:space="preserve">被授权人签字或盖章</w:t>
      </w:r>
      <w:r>
        <w:rPr>
          <w:rFonts w:hint="eastAsia" w:ascii="宋体" w:hAnsi="宋体"/>
          <w:color w:val="auto"/>
          <w:sz w:val="21"/>
          <w:szCs w:val="21"/>
          <w:highlight w:val="none"/>
        </w:rPr>
        <w:t xml:space="preserve">”处可不用再重复签字或盖章</w:t>
      </w:r>
      <w:r>
        <w:rPr>
          <w:rFonts w:hint="eastAsia" w:ascii="宋体" w:hAnsi="宋体"/>
          <w:color w:val="auto"/>
          <w:sz w:val="21"/>
          <w:szCs w:val="21"/>
          <w:highlight w:val="none"/>
        </w:rPr>
        <w:t xml:space="preserve">。</w:t>
      </w:r>
      <w:r>
        <w:rPr>
          <w:color w:val="auto"/>
          <w:highlight w:val="none"/>
        </w:rPr>
      </w:r>
    </w:p>
    <w:p>
      <w:pPr>
        <w:pStyle w:val="991"/>
        <w:numPr>
          <w:ilvl w:val="0"/>
          <w:numId w:val="12"/>
        </w:num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供应商为自然人情形的，可不提供本</w:t>
      </w:r>
      <w:r>
        <w:rPr>
          <w:rFonts w:ascii="宋体" w:hAnsi="宋体"/>
          <w:color w:val="auto"/>
          <w:sz w:val="21"/>
          <w:szCs w:val="21"/>
          <w:highlight w:val="none"/>
        </w:rPr>
        <w:t xml:space="preserve">《</w:t>
      </w:r>
      <w:r>
        <w:rPr>
          <w:rFonts w:hint="eastAsia" w:ascii="宋体" w:hAnsi="宋体"/>
          <w:color w:val="auto"/>
          <w:sz w:val="21"/>
          <w:szCs w:val="21"/>
          <w:highlight w:val="none"/>
        </w:rPr>
        <w:t xml:space="preserve">授权委托书</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color w:val="auto"/>
          <w:highlight w:val="none"/>
        </w:rPr>
      </w:r>
    </w:p>
    <w:p>
      <w:pPr>
        <w:pStyle w:val="991"/>
        <w:numPr>
          <w:ilvl w:val="0"/>
          <w:numId w:val="12"/>
        </w:numPr>
        <w:ind w:firstLine="420"/>
        <w:spacing w:line="360" w:lineRule="auto"/>
        <w:rPr>
          <w:rFonts w:hint="eastAsia" w:ascii="宋体" w:hAnsi="宋体"/>
          <w:color w:val="auto"/>
          <w:sz w:val="21"/>
          <w:szCs w:val="21"/>
          <w:highlight w:val="none"/>
        </w:rPr>
      </w:pPr>
      <w:r>
        <w:rPr>
          <w:rFonts w:hint="eastAsia" w:ascii="宋体" w:hAnsi="宋体"/>
          <w:bCs/>
          <w:color w:val="auto"/>
          <w:sz w:val="21"/>
          <w:szCs w:val="21"/>
          <w:highlight w:val="none"/>
        </w:rPr>
        <w:t xml:space="preserve">被授权人为外籍、港、澳、台地区人士的，其身份证明须提供有效的护照或港澳同胞来往内地通行证、台湾同胞来往大陆通行证，或</w:t>
      </w:r>
      <w:r>
        <w:rPr>
          <w:rFonts w:hint="eastAsia" w:ascii="宋体" w:hAnsi="宋体"/>
          <w:bCs/>
          <w:color w:val="auto"/>
          <w:sz w:val="21"/>
          <w:szCs w:val="21"/>
          <w:highlight w:val="none"/>
        </w:rPr>
        <w:t xml:space="preserve">其他</w:t>
      </w:r>
      <w:r>
        <w:rPr>
          <w:rFonts w:hint="eastAsia" w:ascii="宋体" w:hAnsi="宋体"/>
          <w:bCs/>
          <w:color w:val="auto"/>
          <w:sz w:val="21"/>
          <w:szCs w:val="21"/>
          <w:highlight w:val="none"/>
        </w:rPr>
        <w:t xml:space="preserve">可在中国大陆有效居留的许可证明。</w:t>
      </w:r>
      <w:r>
        <w:rPr>
          <w:rFonts w:hint="eastAsia" w:ascii="宋体" w:hAnsi="宋体"/>
          <w:color w:val="auto"/>
          <w:sz w:val="21"/>
          <w:szCs w:val="21"/>
          <w:highlight w:val="none"/>
        </w:rPr>
      </w:r>
      <w:r>
        <w:rPr>
          <w:color w:val="auto"/>
          <w:highlight w:val="none"/>
        </w:rPr>
      </w:r>
    </w:p>
    <w:p>
      <w:pPr>
        <w:pStyle w:val="991"/>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rPr>
          <w:color w:val="auto"/>
          <w:highlight w:val="none"/>
        </w:rPr>
      </w:r>
    </w:p>
    <w:p>
      <w:pPr>
        <w:pStyle w:val="905"/>
        <w:jc w:val="center"/>
        <w:rPr>
          <w:rFonts w:ascii="黑体" w:eastAsia="黑体"/>
          <w:bCs/>
          <w:color w:val="auto"/>
          <w:sz w:val="28"/>
          <w:szCs w:val="28"/>
          <w:highlight w:val="none"/>
        </w:rPr>
        <w:outlineLvl w:val="0"/>
      </w:pPr>
      <w:r>
        <w:rPr>
          <w:color w:val="auto"/>
          <w:highlight w:val="none"/>
        </w:rPr>
      </w:r>
      <w:bookmarkStart w:id="214" w:name="报价方关于资格的声明函（格式）"/>
      <w:r>
        <w:rPr>
          <w:color w:val="auto"/>
          <w:highlight w:val="none"/>
        </w:rPr>
      </w:r>
      <w:bookmarkEnd w:id="214"/>
      <w:r>
        <w:rPr>
          <w:rFonts w:hint="eastAsia" w:ascii="黑体" w:eastAsia="黑体"/>
          <w:bCs/>
          <w:color w:val="auto"/>
          <w:sz w:val="28"/>
          <w:szCs w:val="28"/>
          <w:highlight w:val="none"/>
        </w:rPr>
        <w:t xml:space="preserve">资格声明函</w:t>
      </w:r>
      <w:r>
        <w:rPr>
          <w:rFonts w:ascii="黑体" w:eastAsia="黑体"/>
          <w:bCs/>
          <w:color w:val="auto"/>
          <w:sz w:val="28"/>
          <w:szCs w:val="28"/>
          <w:highlight w:val="none"/>
        </w:rPr>
      </w:r>
      <w:r>
        <w:rPr>
          <w:color w:val="auto"/>
          <w:highlight w:val="none"/>
        </w:rPr>
      </w:r>
    </w:p>
    <w:p>
      <w:pPr>
        <w:pStyle w:val="905"/>
        <w:jc w:val="center"/>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05"/>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无锡市公共资源交易中心：</w:t>
      </w:r>
      <w:r>
        <w:rPr>
          <w:rFonts w:ascii="宋体"/>
          <w:bCs/>
          <w:color w:val="auto"/>
          <w:sz w:val="24"/>
          <w:szCs w:val="24"/>
          <w:highlight w:val="none"/>
        </w:rPr>
      </w:r>
      <w:r>
        <w:rPr>
          <w:color w:val="auto"/>
          <w:highlight w:val="none"/>
        </w:rPr>
      </w:r>
    </w:p>
    <w:p>
      <w:pPr>
        <w:pStyle w:val="905"/>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rPr>
        <w:t xml:space="preserve">JSZC-320200-JZCG-G2025-0188</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rPr>
        <w:t xml:space="preserve">并</w:t>
      </w:r>
      <w:r>
        <w:rPr>
          <w:rFonts w:hint="eastAsia" w:ascii="宋体" w:hAnsi="宋体"/>
          <w:bCs/>
          <w:color w:val="auto"/>
          <w:sz w:val="24"/>
          <w:szCs w:val="24"/>
          <w:highlight w:val="none"/>
        </w:rPr>
        <w:t xml:space="preserve">作如下声明</w:t>
      </w:r>
      <w:r>
        <w:rPr>
          <w:rFonts w:ascii="宋体" w:hAnsi="宋体"/>
          <w:bCs/>
          <w:color w:val="auto"/>
          <w:sz w:val="24"/>
          <w:szCs w:val="24"/>
          <w:highlight w:val="none"/>
        </w:rPr>
      </w:r>
      <w:r>
        <w:rPr>
          <w:color w:val="auto"/>
          <w:highlight w:val="none"/>
        </w:rPr>
      </w:r>
    </w:p>
    <w:p>
      <w:pPr>
        <w:pStyle w:val="905"/>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rPr>
          <w:color w:val="auto"/>
          <w:highlight w:val="none"/>
        </w:rPr>
      </w:r>
    </w:p>
    <w:p>
      <w:pPr>
        <w:pStyle w:val="905"/>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）具备本次项目履行合同所必需的设备和专业技术能力。</w:t>
      </w:r>
      <w:r>
        <w:rPr>
          <w:color w:val="auto"/>
          <w:highlight w:val="none"/>
        </w:rPr>
      </w:r>
    </w:p>
    <w:p>
      <w:pPr>
        <w:pStyle w:val="905"/>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05"/>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）针对本次项目的上述声明以及投标文件中所有关于投标资格的文件、证明、陈述均是真实的、准确的。若有违背，我公司（单位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）愿意承担由此而产生的一切后果。</w:t>
      </w:r>
      <w:r>
        <w:rPr>
          <w:rFonts w:ascii="宋体"/>
          <w:bCs/>
          <w:color w:val="auto"/>
          <w:sz w:val="24"/>
          <w:szCs w:val="24"/>
          <w:highlight w:val="none"/>
        </w:rPr>
      </w:r>
      <w:r>
        <w:rPr>
          <w:color w:val="auto"/>
          <w:highlight w:val="none"/>
        </w:rPr>
      </w:r>
    </w:p>
    <w:p>
      <w:pPr>
        <w:pStyle w:val="905"/>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05"/>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bCs/>
          <w:color w:val="auto"/>
          <w:sz w:val="24"/>
          <w:szCs w:val="24"/>
          <w:highlight w:val="none"/>
        </w:rPr>
      </w:r>
      <w:r>
        <w:rPr>
          <w:color w:val="auto"/>
          <w:highlight w:val="none"/>
        </w:rPr>
      </w:r>
    </w:p>
    <w:p>
      <w:pPr>
        <w:pStyle w:val="905"/>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rPr>
          <w:color w:val="auto"/>
          <w:highlight w:val="none"/>
        </w:rPr>
      </w:r>
    </w:p>
    <w:p>
      <w:pPr>
        <w:pStyle w:val="905"/>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color w:val="auto"/>
          <w:highlight w:val="none"/>
        </w:rPr>
      </w:r>
    </w:p>
    <w:p>
      <w:pPr>
        <w:pStyle w:val="905"/>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highlight w:val="none"/>
        </w:rPr>
      </w:r>
    </w:p>
    <w:p>
      <w:pPr>
        <w:pStyle w:val="905"/>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05"/>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05"/>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highlight w:val="none"/>
        </w:rPr>
      </w:r>
    </w:p>
    <w:p>
      <w:pPr>
        <w:pStyle w:val="905"/>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auto"/>
          <w:highlight w:val="none"/>
        </w:rPr>
      </w:r>
    </w:p>
    <w:p>
      <w:pPr>
        <w:pStyle w:val="905"/>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rFonts w:ascii="宋体" w:hAnsi="宋体"/>
          <w:bCs/>
          <w:color w:val="auto"/>
          <w:sz w:val="24"/>
          <w:szCs w:val="24"/>
          <w:highlight w:val="none"/>
        </w:rPr>
      </w:r>
      <w:r>
        <w:rPr>
          <w:color w:val="auto"/>
          <w:highlight w:val="none"/>
        </w:rPr>
      </w:r>
    </w:p>
    <w:p>
      <w:pPr>
        <w:pStyle w:val="905"/>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05"/>
        <w:ind w:firstLine="420"/>
        <w:spacing w:line="360" w:lineRule="auto"/>
        <w:rPr>
          <w:rFonts w:hint="eastAsia"/>
          <w:color w:val="auto"/>
          <w:highlight w:val="none"/>
        </w:rPr>
      </w:pPr>
      <w:r>
        <w:rPr>
          <w:rFonts w:hint="eastAsia"/>
          <w:color w:val="auto"/>
          <w:highlight w:val="none"/>
        </w:rPr>
      </w:r>
      <w:r>
        <w:rPr>
          <w:color w:val="auto"/>
          <w:highlight w:val="none"/>
        </w:rPr>
      </w:r>
    </w:p>
    <w:p>
      <w:pPr>
        <w:pStyle w:val="905"/>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auto"/>
          <w:highlight w:val="none"/>
        </w:rPr>
      </w:r>
    </w:p>
    <w:p>
      <w:pPr>
        <w:pStyle w:val="905"/>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rPr>
          <w:color w:val="auto"/>
          <w:highlight w:val="none"/>
        </w:rPr>
      </w:r>
    </w:p>
    <w:p>
      <w:pPr>
        <w:pStyle w:val="905"/>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none"/>
        </w:rPr>
      </w:r>
    </w:p>
    <w:p>
      <w:pPr>
        <w:pStyle w:val="905"/>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rPr>
          <w:color w:val="auto"/>
          <w:highlight w:val="none"/>
        </w:rPr>
      </w:r>
    </w:p>
    <w:p>
      <w:pPr>
        <w:pStyle w:val="905"/>
        <w:ind w:firstLine="482"/>
        <w:spacing w:line="440" w:lineRule="exact"/>
        <w:rPr>
          <w:rFonts w:ascii="Arial" w:hAnsi="Arial"/>
          <w:b/>
          <w:color w:val="auto"/>
          <w:sz w:val="24"/>
          <w:highlight w:val="none"/>
        </w:rPr>
      </w:pPr>
      <w:r>
        <w:rPr>
          <w:rFonts w:ascii="Arial" w:hAnsi="Arial"/>
          <w:b/>
          <w:color w:val="auto"/>
          <w:sz w:val="24"/>
          <w:highlight w:val="none"/>
        </w:rPr>
      </w:r>
      <w:r>
        <w:rPr>
          <w:color w:val="auto"/>
          <w:highlight w:val="none"/>
        </w:rPr>
      </w:r>
    </w:p>
    <w:p>
      <w:pPr>
        <w:pStyle w:val="905"/>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rFonts w:ascii="黑体" w:eastAsia="黑体"/>
          <w:bCs/>
          <w:color w:val="auto"/>
          <w:sz w:val="28"/>
          <w:szCs w:val="28"/>
          <w:highlight w:val="none"/>
        </w:rPr>
      </w:r>
      <w:r>
        <w:rPr>
          <w:color w:val="auto"/>
          <w:highlight w:val="none"/>
        </w:rPr>
      </w:r>
    </w:p>
    <w:p>
      <w:pPr>
        <w:pStyle w:val="905"/>
        <w:jc w:val="center"/>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05"/>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auto"/>
          <w:sz w:val="24"/>
          <w:szCs w:val="24"/>
          <w:highlight w:val="none"/>
        </w:rPr>
      </w:r>
      <w:r>
        <w:rPr>
          <w:color w:val="auto"/>
          <w:highlight w:val="none"/>
        </w:rPr>
      </w:r>
    </w:p>
    <w:p>
      <w:pPr>
        <w:pStyle w:val="905"/>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rFonts w:ascii="宋体" w:hAnsi="宋体"/>
          <w:bCs/>
          <w:color w:val="auto"/>
          <w:sz w:val="24"/>
          <w:szCs w:val="24"/>
          <w:highlight w:val="none"/>
        </w:rPr>
      </w:r>
      <w:r>
        <w:rPr>
          <w:color w:val="auto"/>
          <w:highlight w:val="none"/>
        </w:rPr>
      </w:r>
    </w:p>
    <w:p>
      <w:pPr>
        <w:pStyle w:val="905"/>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05"/>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05"/>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rFonts w:ascii="宋体" w:hAnsi="宋体"/>
          <w:bCs/>
          <w:color w:val="auto"/>
          <w:sz w:val="24"/>
          <w:szCs w:val="24"/>
          <w:highlight w:val="none"/>
        </w:rPr>
      </w:r>
      <w:r>
        <w:rPr>
          <w:color w:val="auto"/>
          <w:highlight w:val="none"/>
        </w:rPr>
      </w:r>
    </w:p>
    <w:p>
      <w:pPr>
        <w:pStyle w:val="905"/>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05"/>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rPr>
          <w:color w:val="auto"/>
          <w:highlight w:val="none"/>
        </w:rPr>
      </w:r>
    </w:p>
    <w:p>
      <w:pPr>
        <w:pStyle w:val="905"/>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05"/>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rPr>
          <w:rFonts w:ascii="宋体"/>
          <w:bCs/>
          <w:color w:val="auto"/>
          <w:sz w:val="24"/>
          <w:szCs w:val="24"/>
          <w:highlight w:val="none"/>
        </w:rPr>
      </w:r>
      <w:r>
        <w:rPr>
          <w:color w:val="auto"/>
          <w:highlight w:val="none"/>
        </w:rPr>
      </w:r>
    </w:p>
    <w:p>
      <w:pPr>
        <w:pStyle w:val="905"/>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致无锡市公共资源交易中心：</w:t>
      </w:r>
      <w:r>
        <w:rPr>
          <w:rFonts w:ascii="宋体"/>
          <w:bCs/>
          <w:color w:val="auto"/>
          <w:sz w:val="24"/>
          <w:szCs w:val="24"/>
          <w:highlight w:val="none"/>
        </w:rPr>
      </w:r>
      <w:r>
        <w:rPr>
          <w:color w:val="auto"/>
          <w:highlight w:val="none"/>
        </w:rPr>
      </w:r>
    </w:p>
    <w:p>
      <w:pPr>
        <w:pStyle w:val="905"/>
        <w:ind w:firstLine="48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05"/>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rPr>
        <w:t xml:space="preserve">JSZC-320200-JZCG-G2025-0188</w:t>
      </w:r>
      <w:r>
        <w:rPr>
          <w:rFonts w:hint="eastAsia" w:ascii="宋体" w:hAnsi="宋体"/>
          <w:bCs/>
          <w:color w:val="auto"/>
          <w:sz w:val="24"/>
          <w:szCs w:val="24"/>
          <w:highlight w:val="none"/>
        </w:rPr>
        <w:t xml:space="preserve">招标文件，经仔细阅读和研究，我</w:t>
      </w:r>
      <w:r>
        <w:rPr>
          <w:rFonts w:hint="eastAsia" w:ascii="宋体" w:hAnsi="宋体"/>
          <w:bCs/>
          <w:color w:val="auto"/>
          <w:sz w:val="24"/>
          <w:szCs w:val="24"/>
          <w:highlight w:val="none"/>
        </w:rPr>
        <w:t xml:space="preserve">方决定参加此项目的投标。</w:t>
      </w:r>
      <w:r>
        <w:rPr>
          <w:rFonts w:ascii="宋体"/>
          <w:bCs/>
          <w:color w:val="auto"/>
          <w:sz w:val="24"/>
          <w:szCs w:val="24"/>
          <w:highlight w:val="none"/>
        </w:rPr>
      </w:r>
      <w:r>
        <w:rPr>
          <w:color w:val="auto"/>
          <w:highlight w:val="none"/>
        </w:rPr>
      </w:r>
    </w:p>
    <w:p>
      <w:pPr>
        <w:pStyle w:val="905"/>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rFonts w:ascii="宋体"/>
          <w:bCs/>
          <w:color w:val="auto"/>
          <w:sz w:val="24"/>
          <w:szCs w:val="24"/>
          <w:highlight w:val="none"/>
        </w:rPr>
      </w:r>
      <w:r>
        <w:rPr>
          <w:color w:val="auto"/>
          <w:highlight w:val="none"/>
        </w:rP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0"/>
          <w:bCs/>
          <w:color w:val="auto"/>
          <w:highlight w:val="none"/>
        </w:rPr>
      </w:pPr>
      <w:r>
        <w:rPr>
          <w:rFonts w:hint="eastAsia" w:ascii="宋体" w:hAnsi="宋体"/>
          <w:bCs/>
          <w:color w:val="auto"/>
          <w:sz w:val="24"/>
          <w:szCs w:val="24"/>
          <w:highlight w:val="none"/>
        </w:rPr>
        <w:t xml:space="preserve">我方愿意提供无锡市公共资源交易中心在招标文件中要求的文件、资料。</w:t>
      </w:r>
      <w:r>
        <w:rPr>
          <w:rStyle w:val="980"/>
          <w:bCs/>
          <w:color w:val="auto"/>
          <w:highlight w:val="none"/>
        </w:rPr>
      </w:r>
      <w:r>
        <w:rPr>
          <w:color w:val="auto"/>
          <w:highlight w:val="none"/>
        </w:rP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rPr>
          <w:rFonts w:ascii="宋体"/>
          <w:bCs/>
          <w:color w:val="auto"/>
          <w:sz w:val="24"/>
          <w:szCs w:val="24"/>
          <w:highlight w:val="none"/>
        </w:rPr>
      </w:r>
      <w:r>
        <w:rPr>
          <w:color w:val="auto"/>
          <w:highlight w:val="none"/>
        </w:rP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rPr>
          <w:rFonts w:ascii="宋体"/>
          <w:bCs/>
          <w:color w:val="auto"/>
          <w:sz w:val="24"/>
          <w:szCs w:val="24"/>
          <w:highlight w:val="none"/>
        </w:rPr>
      </w:r>
      <w:r>
        <w:rPr>
          <w:color w:val="auto"/>
          <w:highlight w:val="none"/>
        </w:rP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rPr>
          <w:rFonts w:ascii="宋体"/>
          <w:bCs/>
          <w:color w:val="auto"/>
          <w:sz w:val="24"/>
          <w:szCs w:val="24"/>
          <w:highlight w:val="none"/>
        </w:rPr>
      </w:r>
      <w:r>
        <w:rPr>
          <w:color w:val="auto"/>
          <w:highlight w:val="none"/>
        </w:rP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bCs/>
          <w:color w:val="auto"/>
          <w:sz w:val="24"/>
          <w:szCs w:val="24"/>
          <w:highlight w:val="none"/>
        </w:rPr>
        <w:t xml:space="preserve">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rFonts w:ascii="宋体"/>
          <w:bCs/>
          <w:color w:val="auto"/>
          <w:sz w:val="24"/>
          <w:szCs w:val="24"/>
          <w:highlight w:val="none"/>
        </w:rPr>
      </w:r>
      <w:r>
        <w:rPr>
          <w:color w:val="auto"/>
          <w:highlight w:val="none"/>
        </w:rP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w:t>
      </w:r>
      <w:r>
        <w:rPr>
          <w:rFonts w:hint="eastAsia" w:ascii="宋体" w:hAnsi="宋体"/>
          <w:bCs/>
          <w:color w:val="auto"/>
          <w:sz w:val="24"/>
          <w:szCs w:val="24"/>
          <w:highlight w:val="none"/>
        </w:rPr>
        <w:t xml:space="preserve">方</w:t>
      </w:r>
      <w:r>
        <w:rPr>
          <w:rFonts w:hint="eastAsia" w:ascii="宋体" w:hAnsi="宋体"/>
          <w:bCs/>
          <w:color w:val="auto"/>
          <w:sz w:val="24"/>
          <w:szCs w:val="24"/>
          <w:highlight w:val="none"/>
        </w:rPr>
        <w:t xml:space="preserve">已详细审核全部招标文件及其有效补充文件，我们知道必须放弃提出含糊不清或误解问题的权利。</w:t>
      </w:r>
      <w:r>
        <w:rPr>
          <w:rFonts w:ascii="宋体"/>
          <w:bCs/>
          <w:color w:val="auto"/>
          <w:sz w:val="24"/>
          <w:szCs w:val="24"/>
          <w:highlight w:val="none"/>
        </w:rPr>
      </w:r>
      <w:r>
        <w:rPr>
          <w:color w:val="auto"/>
          <w:highlight w:val="none"/>
        </w:rP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auto"/>
          <w:sz w:val="24"/>
          <w:szCs w:val="24"/>
          <w:highlight w:val="none"/>
        </w:rPr>
      </w:r>
      <w:r>
        <w:rPr>
          <w:color w:val="auto"/>
          <w:highlight w:val="none"/>
        </w:rP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bCs/>
          <w:color w:val="auto"/>
          <w:sz w:val="24"/>
          <w:szCs w:val="24"/>
          <w:highlight w:val="none"/>
        </w:rPr>
        <w:t xml:space="preserve">按采购人要求</w:t>
      </w:r>
      <w:r>
        <w:rPr>
          <w:rFonts w:hint="eastAsia" w:ascii="宋体" w:hAnsi="宋体"/>
          <w:bCs/>
          <w:color w:val="auto"/>
          <w:sz w:val="24"/>
          <w:szCs w:val="24"/>
          <w:highlight w:val="none"/>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auto"/>
          <w:sz w:val="24"/>
          <w:szCs w:val="24"/>
          <w:highlight w:val="none"/>
        </w:rPr>
      </w:r>
      <w:r>
        <w:rPr>
          <w:color w:val="auto"/>
          <w:highlight w:val="none"/>
        </w:rPr>
      </w:r>
    </w:p>
    <w:p>
      <w:pPr>
        <w:pStyle w:val="905"/>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auto"/>
          <w:sz w:val="24"/>
          <w:szCs w:val="24"/>
          <w:highlight w:val="none"/>
        </w:rPr>
      </w:r>
      <w:r>
        <w:rPr>
          <w:color w:val="auto"/>
          <w:highlight w:val="none"/>
        </w:rPr>
      </w:r>
    </w:p>
    <w:p>
      <w:pPr>
        <w:pStyle w:val="905"/>
        <w:ind w:firstLine="72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05"/>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rPr>
          <w:rFonts w:ascii="宋体"/>
          <w:bCs/>
          <w:color w:val="auto"/>
          <w:sz w:val="24"/>
          <w:szCs w:val="24"/>
          <w:highlight w:val="none"/>
        </w:rPr>
      </w:r>
      <w:r>
        <w:rPr>
          <w:color w:val="auto"/>
          <w:highlight w:val="none"/>
        </w:rPr>
      </w:r>
    </w:p>
    <w:p>
      <w:pPr>
        <w:pStyle w:val="905"/>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rPr>
          <w:color w:val="auto"/>
          <w:highlight w:val="none"/>
        </w:rPr>
      </w:r>
    </w:p>
    <w:p>
      <w:pPr>
        <w:pStyle w:val="905"/>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p>
    <w:p>
      <w:pPr>
        <w:pStyle w:val="905"/>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rPr>
          <w:color w:val="auto"/>
          <w:highlight w:val="none"/>
        </w:rPr>
      </w:r>
    </w:p>
    <w:p>
      <w:pPr>
        <w:pStyle w:val="905"/>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rPr>
          <w:color w:val="auto"/>
          <w:highlight w:val="none"/>
        </w:rPr>
      </w:r>
    </w:p>
    <w:p>
      <w:pPr>
        <w:pStyle w:val="905"/>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JSZC-320200-JZCG-G2025-0188</w:t>
      </w:r>
      <w:r>
        <w:rPr>
          <w:rFonts w:hint="eastAsia" w:ascii="宋体" w:hAnsi="宋体"/>
          <w:color w:val="auto"/>
          <w:sz w:val="24"/>
          <w:szCs w:val="24"/>
          <w:highlight w:val="none"/>
        </w:rPr>
        <w:t xml:space="preserve">在此承诺：</w:t>
      </w:r>
      <w:r>
        <w:rPr>
          <w:rFonts w:ascii="宋体" w:hAnsi="宋体"/>
          <w:color w:val="auto"/>
          <w:sz w:val="24"/>
          <w:szCs w:val="24"/>
          <w:highlight w:val="none"/>
        </w:rPr>
      </w:r>
      <w:r>
        <w:rPr>
          <w:color w:val="auto"/>
          <w:highlight w:val="none"/>
        </w:rPr>
      </w:r>
    </w:p>
    <w:p>
      <w:pPr>
        <w:pStyle w:val="905"/>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rPr>
        <w:t xml:space="preserve">所提供的货物均为原厂全新合格品，提供的服务符合招标文件要求。</w:t>
      </w:r>
      <w:r>
        <w:rPr>
          <w:rFonts w:ascii="宋体" w:hAnsi="宋体"/>
          <w:bCs/>
          <w:color w:val="auto"/>
          <w:sz w:val="24"/>
          <w:szCs w:val="24"/>
          <w:highlight w:val="none"/>
        </w:rPr>
      </w:r>
      <w:r>
        <w:rPr>
          <w:color w:val="auto"/>
          <w:highlight w:val="none"/>
        </w:rPr>
      </w:r>
    </w:p>
    <w:p>
      <w:pPr>
        <w:pStyle w:val="905"/>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rPr>
          <w:color w:val="auto"/>
          <w:highlight w:val="none"/>
        </w:rPr>
      </w:r>
    </w:p>
    <w:p>
      <w:pPr>
        <w:pStyle w:val="905"/>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auto"/>
          <w:highlight w:val="none"/>
        </w:rPr>
      </w:r>
    </w:p>
    <w:p>
      <w:pPr>
        <w:pStyle w:val="905"/>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优先</w:t>
      </w:r>
      <w:r>
        <w:rPr>
          <w:rFonts w:hint="eastAsia" w:ascii="宋体" w:hAnsi="宋体"/>
          <w:bCs/>
          <w:color w:val="auto"/>
          <w:sz w:val="24"/>
          <w:szCs w:val="24"/>
          <w:highlight w:val="none"/>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auto"/>
          <w:sz w:val="24"/>
          <w:szCs w:val="24"/>
          <w:highlight w:val="none"/>
        </w:rPr>
      </w:r>
      <w:r>
        <w:rPr>
          <w:color w:val="auto"/>
          <w:highlight w:val="none"/>
        </w:rPr>
      </w:r>
    </w:p>
    <w:p>
      <w:pPr>
        <w:pStyle w:val="905"/>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w:t>
      </w:r>
      <w:r>
        <w:rPr>
          <w:rFonts w:hint="eastAsia" w:ascii="宋体" w:hAnsi="宋体" w:cs="宋体"/>
          <w:color w:val="auto"/>
          <w:sz w:val="24"/>
          <w:szCs w:val="24"/>
          <w:highlight w:val="none"/>
        </w:rPr>
        <w:t xml:space="preserve">（简称《需求标准》）</w:t>
      </w:r>
      <w:r>
        <w:rPr>
          <w:rFonts w:hint="eastAsia" w:ascii="宋体" w:hAnsi="宋体" w:cs="宋体"/>
          <w:color w:val="auto"/>
          <w:sz w:val="24"/>
          <w:szCs w:val="24"/>
          <w:highlight w:val="none"/>
        </w:rPr>
        <w:t xml:space="preserve">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w:t>
      </w:r>
      <w:r>
        <w:rPr>
          <w:rFonts w:hint="eastAsia" w:ascii="宋体"/>
          <w:bCs/>
          <w:color w:val="auto"/>
          <w:sz w:val="24"/>
          <w:szCs w:val="24"/>
          <w:highlight w:val="none"/>
        </w:rPr>
        <w:t xml:space="preserve">，</w:t>
      </w:r>
      <w:r>
        <w:rPr>
          <w:rFonts w:hint="eastAsia" w:ascii="宋体"/>
          <w:bCs/>
          <w:color w:val="auto"/>
          <w:sz w:val="24"/>
          <w:szCs w:val="24"/>
          <w:highlight w:val="none"/>
        </w:rPr>
        <w:t xml:space="preserve">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rPr>
          <w:rFonts w:hint="eastAsia" w:ascii="宋体" w:hAnsi="宋体" w:cs="宋体"/>
          <w:color w:val="auto"/>
          <w:sz w:val="24"/>
          <w:szCs w:val="24"/>
          <w:highlight w:val="none"/>
        </w:rPr>
      </w:r>
      <w:r>
        <w:rPr>
          <w:color w:val="auto"/>
          <w:highlight w:val="none"/>
        </w:rPr>
      </w:r>
    </w:p>
    <w:p>
      <w:pPr>
        <w:pStyle w:val="905"/>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05"/>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w:t>
      </w:r>
      <w:r>
        <w:rPr>
          <w:rFonts w:hint="eastAsia" w:ascii="宋体"/>
          <w:bCs/>
          <w:color w:val="auto"/>
          <w:sz w:val="24"/>
          <w:szCs w:val="24"/>
          <w:highlight w:val="none"/>
        </w:rPr>
        <w:t xml:space="preserve">如</w:t>
      </w:r>
      <w:r>
        <w:rPr>
          <w:rFonts w:hint="eastAsia" w:ascii="宋体"/>
          <w:bCs/>
          <w:color w:val="auto"/>
          <w:sz w:val="24"/>
          <w:szCs w:val="24"/>
          <w:highlight w:val="none"/>
        </w:rPr>
        <w:t xml:space="preserve">有其他承诺的可在此处添加）</w:t>
      </w:r>
      <w:r>
        <w:rPr>
          <w:rFonts w:hint="eastAsia" w:ascii="宋体"/>
          <w:bCs/>
          <w:color w:val="auto"/>
          <w:sz w:val="24"/>
          <w:szCs w:val="24"/>
          <w:highlight w:val="none"/>
        </w:rPr>
      </w:r>
      <w:r>
        <w:rPr>
          <w:color w:val="auto"/>
          <w:highlight w:val="none"/>
        </w:rPr>
      </w:r>
    </w:p>
    <w:p>
      <w:pPr>
        <w:pStyle w:val="905"/>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05"/>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rPr>
          <w:rFonts w:ascii="宋体" w:hAnsi="宋体"/>
          <w:color w:val="auto"/>
          <w:sz w:val="24"/>
          <w:szCs w:val="20"/>
          <w:highlight w:val="none"/>
        </w:rPr>
      </w:r>
      <w:r>
        <w:rPr>
          <w:color w:val="auto"/>
          <w:highlight w:val="none"/>
        </w:rPr>
      </w:r>
    </w:p>
    <w:p>
      <w:pPr>
        <w:pStyle w:val="905"/>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05"/>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r>
      <w:r>
        <w:rPr>
          <w:color w:val="auto"/>
          <w:highlight w:val="none"/>
        </w:rPr>
      </w:r>
    </w:p>
    <w:p>
      <w:pPr>
        <w:pStyle w:val="905"/>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rPr>
          <w:color w:val="auto"/>
          <w:highlight w:val="none"/>
        </w:rPr>
      </w:r>
    </w:p>
    <w:p>
      <w:pPr>
        <w:pStyle w:val="905"/>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rPr>
          <w:color w:val="auto"/>
          <w:highlight w:val="none"/>
        </w:rPr>
      </w:r>
    </w:p>
    <w:p>
      <w:pPr>
        <w:pStyle w:val="905"/>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r>
      <w:r>
        <w:rPr>
          <w:color w:val="auto"/>
          <w:highlight w:val="none"/>
        </w:rPr>
      </w:r>
    </w:p>
    <w:p>
      <w:pPr>
        <w:pStyle w:val="905"/>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05"/>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rPr>
          <w:rFonts w:hint="eastAsia" w:ascii="黑体" w:eastAsia="黑体"/>
          <w:bCs/>
          <w:color w:val="auto"/>
          <w:sz w:val="24"/>
          <w:szCs w:val="24"/>
          <w:highlight w:val="none"/>
        </w:rPr>
      </w:r>
      <w:r>
        <w:rPr>
          <w:color w:val="auto"/>
          <w:highlight w:val="none"/>
        </w:rPr>
      </w:r>
    </w:p>
    <w:p>
      <w:pPr>
        <w:pStyle w:val="905"/>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05"/>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JSZC-320200-JZCG-G2025-0188</w:t>
      </w:r>
      <w:r>
        <w:rPr>
          <w:rFonts w:ascii="黑体" w:eastAsia="黑体"/>
          <w:bCs/>
          <w:color w:val="auto"/>
          <w:sz w:val="24"/>
          <w:szCs w:val="24"/>
          <w:highlight w:val="none"/>
        </w:rPr>
      </w:r>
      <w:r>
        <w:rPr>
          <w:color w:val="auto"/>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05"/>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rPr>
                <w:rFonts w:ascii="宋体"/>
                <w:b/>
                <w:bCs/>
                <w:color w:val="auto"/>
                <w:sz w:val="24"/>
                <w:szCs w:val="24"/>
                <w:highlight w:val="none"/>
              </w:rPr>
            </w:r>
            <w:r>
              <w:rPr>
                <w:color w:val="auto"/>
                <w:highlight w:val="none"/>
              </w:rPr>
            </w:r>
          </w:p>
        </w:tc>
        <w:tc>
          <w:tcPr>
            <w:tcW w:w="3188" w:type="dxa"/>
            <w:vAlign w:val="center"/>
            <w:textDirection w:val="lrTb"/>
            <w:noWrap w:val="false"/>
          </w:tcPr>
          <w:p>
            <w:pPr>
              <w:pStyle w:val="905"/>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rFonts w:ascii="宋体"/>
                <w:b/>
                <w:bCs/>
                <w:color w:val="auto"/>
                <w:sz w:val="24"/>
                <w:szCs w:val="24"/>
                <w:highlight w:val="none"/>
              </w:rPr>
            </w:r>
            <w:r>
              <w:rPr>
                <w:color w:val="auto"/>
                <w:highlight w:val="none"/>
              </w:rPr>
            </w:r>
          </w:p>
        </w:tc>
      </w:tr>
      <w:tr>
        <w:trPr>
          <w:cantSplit/>
          <w:trHeight w:val="1630"/>
        </w:trPr>
        <w:tc>
          <w:tcPr>
            <w:tcW w:w="5697" w:type="dxa"/>
            <w:vAlign w:val="center"/>
            <w:textDirection w:val="lrTb"/>
            <w:noWrap w:val="false"/>
          </w:tcPr>
          <w:p>
            <w:pPr>
              <w:pStyle w:val="1019"/>
              <w:jc w:val="center"/>
              <w:spacing w:line="400" w:lineRule="exact"/>
              <w:rPr>
                <w:rFonts w:hAnsi="宋体"/>
                <w:bCs/>
                <w:color w:val="auto"/>
                <w:szCs w:val="24"/>
                <w:highlight w:val="none"/>
              </w:rPr>
            </w:pPr>
            <w:r>
              <w:rPr>
                <w:rFonts w:hint="eastAsia" w:hAnsi="宋体"/>
                <w:bCs/>
                <w:color w:val="auto"/>
                <w:szCs w:val="24"/>
                <w:highlight w:val="none"/>
              </w:rPr>
              <w:t xml:space="preserve">无锡市公共机构节能信息化“一张网”监管平台建设项目</w:t>
            </w:r>
            <w:r>
              <w:rPr>
                <w:rFonts w:hAnsi="宋体"/>
                <w:bCs/>
                <w:color w:val="auto"/>
                <w:szCs w:val="24"/>
                <w:highlight w:val="none"/>
              </w:rPr>
            </w:r>
            <w:r>
              <w:rPr>
                <w:color w:val="auto"/>
                <w:highlight w:val="none"/>
              </w:rPr>
            </w:r>
          </w:p>
        </w:tc>
        <w:tc>
          <w:tcPr>
            <w:tcW w:w="3188" w:type="dxa"/>
            <w:vAlign w:val="center"/>
            <w:textDirection w:val="lrTb"/>
            <w:noWrap w:val="false"/>
          </w:tcPr>
          <w:p>
            <w:pPr>
              <w:pStyle w:val="1019"/>
              <w:jc w:val="center"/>
              <w:rPr>
                <w:rFonts w:hAnsi="宋体"/>
                <w:b/>
                <w:color w:val="auto"/>
                <w:szCs w:val="24"/>
                <w:highlight w:val="none"/>
              </w:rPr>
            </w:pPr>
            <w:r>
              <w:rPr>
                <w:rFonts w:hAnsi="宋体"/>
                <w:b/>
                <w:color w:val="auto"/>
                <w:szCs w:val="24"/>
                <w:highlight w:val="none"/>
              </w:rPr>
            </w:r>
            <w:r>
              <w:rPr>
                <w:color w:val="auto"/>
                <w:highlight w:val="none"/>
              </w:rPr>
            </w:r>
          </w:p>
        </w:tc>
      </w:tr>
      <w:tr>
        <w:trPr>
          <w:cantSplit/>
          <w:trHeight w:val="780"/>
        </w:trPr>
        <w:tc>
          <w:tcPr>
            <w:gridSpan w:val="2"/>
            <w:tcW w:w="8885" w:type="dxa"/>
            <w:vAlign w:val="center"/>
            <w:textDirection w:val="lrTb"/>
            <w:noWrap w:val="false"/>
          </w:tcPr>
          <w:p>
            <w:pPr>
              <w:pStyle w:val="905"/>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rPr>
                <w:rFonts w:ascii="宋体"/>
                <w:bCs/>
                <w:color w:val="auto"/>
                <w:sz w:val="24"/>
                <w:szCs w:val="24"/>
                <w:highlight w:val="none"/>
              </w:rPr>
            </w:r>
            <w:r>
              <w:rPr>
                <w:color w:val="auto"/>
                <w:highlight w:val="none"/>
              </w:rPr>
            </w:r>
          </w:p>
        </w:tc>
      </w:tr>
    </w:tbl>
    <w:p>
      <w:pPr>
        <w:pStyle w:val="905"/>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p>
    <w:p>
      <w:pPr>
        <w:pStyle w:val="905"/>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05"/>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05"/>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w:t>
      </w:r>
      <w:r>
        <w:rPr>
          <w:rFonts w:hint="eastAsia" w:ascii="黑体" w:eastAsia="黑体"/>
          <w:bCs/>
          <w:color w:val="auto"/>
          <w:sz w:val="24"/>
          <w:szCs w:val="24"/>
          <w:highlight w:val="none"/>
        </w:rPr>
        <w:t xml:space="preserve">因</w:t>
      </w:r>
      <w:r>
        <w:rPr>
          <w:rFonts w:hint="eastAsia" w:ascii="黑体" w:eastAsia="黑体"/>
          <w:bCs/>
          <w:color w:val="auto"/>
          <w:sz w:val="24"/>
          <w:szCs w:val="24"/>
          <w:highlight w:val="none"/>
        </w:rPr>
        <w:t xml:space="preserve">“苏采云”系统</w:t>
      </w:r>
      <w:r>
        <w:rPr>
          <w:rFonts w:hint="eastAsia" w:ascii="黑体" w:eastAsia="黑体"/>
          <w:bCs/>
          <w:color w:val="auto"/>
          <w:sz w:val="24"/>
          <w:szCs w:val="24"/>
          <w:highlight w:val="none"/>
        </w:rPr>
        <w:t xml:space="preserve">自带</w:t>
      </w:r>
      <w:r>
        <w:rPr>
          <w:rFonts w:hint="eastAsia" w:ascii="黑体" w:eastAsia="黑体"/>
          <w:bCs/>
          <w:color w:val="auto"/>
          <w:sz w:val="24"/>
          <w:szCs w:val="24"/>
          <w:highlight w:val="none"/>
        </w:rPr>
        <w:t xml:space="preserve">“开标一览表”模块，</w:t>
      </w:r>
      <w:r>
        <w:rPr>
          <w:rFonts w:hint="eastAsia" w:ascii="黑体" w:eastAsia="黑体"/>
          <w:bCs/>
          <w:color w:val="auto"/>
          <w:sz w:val="24"/>
          <w:szCs w:val="24"/>
          <w:highlight w:val="none"/>
        </w:rPr>
        <w:t xml:space="preserve">投标人</w:t>
      </w:r>
      <w:r>
        <w:rPr>
          <w:rFonts w:hint="eastAsia" w:ascii="黑体" w:eastAsia="黑体"/>
          <w:bCs/>
          <w:color w:val="auto"/>
          <w:sz w:val="24"/>
          <w:szCs w:val="24"/>
          <w:highlight w:val="none"/>
        </w:rPr>
        <w:t xml:space="preserve">须按“苏采云”系统中给定</w:t>
      </w:r>
      <w:r>
        <w:rPr>
          <w:rFonts w:hint="eastAsia" w:ascii="黑体" w:eastAsia="黑体"/>
          <w:bCs/>
          <w:color w:val="auto"/>
          <w:sz w:val="24"/>
          <w:szCs w:val="24"/>
          <w:highlight w:val="none"/>
        </w:rPr>
        <w:t xml:space="preserve">的</w:t>
      </w:r>
      <w:r>
        <w:rPr>
          <w:rFonts w:hint="eastAsia" w:ascii="黑体" w:eastAsia="黑体"/>
          <w:bCs/>
          <w:color w:val="auto"/>
          <w:sz w:val="24"/>
          <w:szCs w:val="24"/>
          <w:highlight w:val="none"/>
        </w:rPr>
        <w:t xml:space="preserve">模块</w:t>
      </w:r>
      <w:r>
        <w:rPr>
          <w:rFonts w:hint="eastAsia" w:ascii="黑体" w:eastAsia="黑体"/>
          <w:bCs/>
          <w:color w:val="auto"/>
          <w:sz w:val="24"/>
          <w:szCs w:val="24"/>
          <w:highlight w:val="none"/>
        </w:rPr>
        <w:t xml:space="preserve">格式</w:t>
      </w:r>
      <w:r>
        <w:rPr>
          <w:rFonts w:hint="eastAsia" w:ascii="黑体" w:eastAsia="黑体"/>
          <w:bCs/>
          <w:color w:val="auto"/>
          <w:sz w:val="24"/>
          <w:szCs w:val="24"/>
          <w:highlight w:val="none"/>
        </w:rPr>
        <w:t xml:space="preserve">，完整、正确地进行填报（具体位置为“基本目录”</w:t>
      </w:r>
      <w:r>
        <w:rPr>
          <w:rFonts w:hint="eastAsia" w:ascii="黑体" w:eastAsia="黑体"/>
          <w:bCs/>
          <w:color w:val="auto"/>
          <w:sz w:val="24"/>
          <w:szCs w:val="24"/>
          <w:highlight w:val="none"/>
        </w:rPr>
        <w:t xml:space="preserve">——“开标一览表”</w:t>
      </w:r>
      <w:r>
        <w:rPr>
          <w:rFonts w:hint="eastAsia" w:ascii="黑体" w:eastAsia="黑体"/>
          <w:bCs/>
          <w:color w:val="auto"/>
          <w:sz w:val="24"/>
          <w:szCs w:val="24"/>
          <w:highlight w:val="none"/>
        </w:rPr>
        <w:t xml:space="preserve">）</w:t>
      </w:r>
      <w:r>
        <w:rPr>
          <w:rFonts w:hint="eastAsia" w:ascii="黑体" w:eastAsia="黑体"/>
          <w:bCs/>
          <w:color w:val="auto"/>
          <w:sz w:val="24"/>
          <w:szCs w:val="24"/>
          <w:highlight w:val="none"/>
        </w:rPr>
        <w:t xml:space="preserve">，此处</w:t>
      </w:r>
      <w:r>
        <w:rPr>
          <w:rFonts w:hint="eastAsia" w:ascii="黑体" w:eastAsia="黑体"/>
          <w:bCs/>
          <w:color w:val="auto"/>
          <w:sz w:val="24"/>
          <w:szCs w:val="24"/>
          <w:highlight w:val="none"/>
        </w:rPr>
        <w:t xml:space="preserve">可不用再重复填报</w:t>
      </w:r>
      <w:r>
        <w:rPr>
          <w:rFonts w:hint="eastAsia" w:ascii="黑体" w:eastAsia="黑体"/>
          <w:bCs/>
          <w:color w:val="auto"/>
          <w:sz w:val="24"/>
          <w:szCs w:val="24"/>
          <w:highlight w:val="none"/>
        </w:rPr>
        <w:t xml:space="preserve">。投标人的“开标一览表”及</w:t>
      </w:r>
      <w:r>
        <w:rPr>
          <w:rFonts w:hint="eastAsia" w:ascii="黑体" w:eastAsia="黑体"/>
          <w:bCs/>
          <w:color w:val="auto"/>
          <w:sz w:val="24"/>
          <w:szCs w:val="24"/>
          <w:highlight w:val="none"/>
        </w:rPr>
        <w:t xml:space="preserve">表</w:t>
      </w:r>
      <w:r>
        <w:rPr>
          <w:rFonts w:hint="eastAsia" w:ascii="黑体" w:eastAsia="黑体"/>
          <w:bCs/>
          <w:color w:val="auto"/>
          <w:sz w:val="24"/>
          <w:szCs w:val="24"/>
          <w:highlight w:val="none"/>
        </w:rPr>
        <w:t xml:space="preserve">中所填</w:t>
      </w:r>
      <w:r>
        <w:rPr>
          <w:rFonts w:hint="eastAsia" w:ascii="黑体" w:eastAsia="黑体"/>
          <w:bCs/>
          <w:color w:val="auto"/>
          <w:sz w:val="24"/>
          <w:szCs w:val="24"/>
          <w:highlight w:val="none"/>
        </w:rPr>
        <w:t xml:space="preserve">的投标</w:t>
      </w:r>
      <w:r>
        <w:rPr>
          <w:rFonts w:hint="eastAsia" w:ascii="黑体" w:eastAsia="黑体"/>
          <w:bCs/>
          <w:color w:val="auto"/>
          <w:sz w:val="24"/>
          <w:szCs w:val="24"/>
          <w:highlight w:val="none"/>
        </w:rPr>
        <w:t xml:space="preserve">报价均将</w:t>
      </w:r>
      <w:r>
        <w:rPr>
          <w:rFonts w:hint="eastAsia" w:ascii="黑体" w:eastAsia="黑体"/>
          <w:bCs/>
          <w:color w:val="auto"/>
          <w:sz w:val="24"/>
          <w:szCs w:val="24"/>
          <w:highlight w:val="none"/>
        </w:rPr>
        <w:t xml:space="preserve">以</w:t>
      </w:r>
      <w:r>
        <w:rPr>
          <w:rFonts w:hint="eastAsia" w:ascii="黑体" w:eastAsia="黑体"/>
          <w:bCs/>
          <w:color w:val="auto"/>
          <w:sz w:val="24"/>
          <w:szCs w:val="24"/>
          <w:highlight w:val="none"/>
        </w:rPr>
        <w:t xml:space="preserve">投标人在“苏采云”系统</w:t>
      </w:r>
      <w:r>
        <w:rPr>
          <w:rFonts w:hint="eastAsia" w:ascii="黑体" w:eastAsia="黑体"/>
          <w:bCs/>
          <w:color w:val="auto"/>
          <w:sz w:val="24"/>
          <w:szCs w:val="24"/>
          <w:highlight w:val="none"/>
        </w:rPr>
        <w:t xml:space="preserve">自带的</w:t>
      </w:r>
      <w:r>
        <w:rPr>
          <w:rFonts w:hint="eastAsia" w:ascii="黑体" w:eastAsia="黑体"/>
          <w:bCs/>
          <w:color w:val="auto"/>
          <w:sz w:val="24"/>
          <w:szCs w:val="24"/>
          <w:highlight w:val="none"/>
        </w:rPr>
        <w:t xml:space="preserve">模块格式中填报的为准。</w:t>
      </w:r>
      <w:r>
        <w:rPr>
          <w:rFonts w:hint="eastAsia" w:ascii="黑体" w:eastAsia="黑体"/>
          <w:bCs/>
          <w:color w:val="auto"/>
          <w:sz w:val="24"/>
          <w:szCs w:val="24"/>
          <w:highlight w:val="none"/>
        </w:rPr>
      </w:r>
      <w:r>
        <w:rPr>
          <w:color w:val="auto"/>
          <w:highlight w:val="none"/>
        </w:rPr>
      </w:r>
    </w:p>
    <w:p>
      <w:pPr>
        <w:pStyle w:val="905"/>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rPr>
          <w:color w:val="auto"/>
          <w:highlight w:val="none"/>
        </w:rPr>
      </w:r>
    </w:p>
    <w:p>
      <w:pPr>
        <w:pStyle w:val="905"/>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05"/>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rPr>
          <w:rFonts w:ascii="黑体" w:eastAsia="黑体"/>
          <w:bCs/>
          <w:color w:val="auto"/>
          <w:sz w:val="28"/>
          <w:szCs w:val="28"/>
          <w:highlight w:val="none"/>
        </w:rPr>
      </w:r>
      <w:r>
        <w:rPr>
          <w:color w:val="auto"/>
          <w:highlight w:val="none"/>
        </w:rPr>
      </w:r>
    </w:p>
    <w:p>
      <w:pPr>
        <w:pStyle w:val="905"/>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JSZC-320200-JZCG-G2025-0188</w:t>
      </w:r>
      <w:r>
        <w:rPr>
          <w:rFonts w:ascii="黑体" w:eastAsia="黑体"/>
          <w:bCs/>
          <w:color w:val="auto"/>
          <w:sz w:val="24"/>
          <w:szCs w:val="24"/>
          <w:highlight w:val="none"/>
        </w:rPr>
      </w:r>
      <w:r>
        <w:rPr>
          <w:color w:val="auto"/>
          <w:highlight w:val="none"/>
        </w:rP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05"/>
              <w:jc w:val="center"/>
              <w:spacing w:before="5"/>
              <w:rPr>
                <w:color w:val="auto"/>
                <w:sz w:val="18"/>
                <w:highlight w:val="none"/>
              </w:rPr>
            </w:pPr>
            <w:r>
              <w:rPr>
                <w:rFonts w:hint="eastAsia"/>
                <w:color w:val="auto"/>
                <w:sz w:val="18"/>
                <w:highlight w:val="none"/>
              </w:rPr>
              <w:t xml:space="preserve">序号</w:t>
            </w:r>
            <w:r>
              <w:rPr>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05"/>
              <w:jc w:val="center"/>
              <w:spacing w:before="5"/>
              <w:rPr>
                <w:color w:val="auto"/>
                <w:sz w:val="18"/>
                <w:highlight w:val="none"/>
              </w:rPr>
            </w:pPr>
            <w:r>
              <w:rPr>
                <w:color w:val="auto"/>
                <w:sz w:val="18"/>
                <w:highlight w:val="none"/>
              </w:rPr>
              <w:t xml:space="preserve">服务内容</w:t>
            </w:r>
            <w:r>
              <w:rPr>
                <w:color w:val="auto"/>
                <w:highlight w:val="none"/>
              </w:rPr>
            </w:r>
          </w:p>
        </w:tc>
        <w:tc>
          <w:tcPr>
            <w:tcW w:w="851" w:type="dxa"/>
            <w:vAlign w:val="center"/>
            <w:textDirection w:val="lrTb"/>
            <w:noWrap w:val="false"/>
          </w:tcPr>
          <w:p>
            <w:pPr>
              <w:pStyle w:val="905"/>
              <w:jc w:val="center"/>
              <w:spacing w:before="5"/>
              <w:rPr>
                <w:color w:val="auto"/>
                <w:sz w:val="18"/>
                <w:highlight w:val="none"/>
              </w:rPr>
            </w:pPr>
            <w:r>
              <w:rPr>
                <w:rFonts w:hint="eastAsia"/>
                <w:color w:val="auto"/>
                <w:sz w:val="18"/>
                <w:highlight w:val="none"/>
              </w:rPr>
              <w:t xml:space="preserve">数量</w:t>
            </w:r>
            <w:r>
              <w:rPr>
                <w:color w:val="auto"/>
                <w:sz w:val="18"/>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05"/>
              <w:jc w:val="center"/>
              <w:spacing w:before="5"/>
              <w:rPr>
                <w:color w:val="auto"/>
                <w:sz w:val="18"/>
                <w:highlight w:val="none"/>
              </w:rPr>
            </w:pPr>
            <w:r>
              <w:rPr>
                <w:rFonts w:hint="eastAsia"/>
                <w:color w:val="auto"/>
                <w:sz w:val="18"/>
                <w:highlight w:val="none"/>
              </w:rPr>
              <w:t xml:space="preserve">单位</w:t>
            </w:r>
            <w:r>
              <w:rPr>
                <w:color w:val="auto"/>
                <w:sz w:val="18"/>
                <w:highlight w:val="none"/>
              </w:rPr>
            </w:r>
            <w:r>
              <w:rPr>
                <w:color w:val="auto"/>
                <w:highlight w:val="none"/>
              </w:rPr>
            </w:r>
          </w:p>
        </w:tc>
        <w:tc>
          <w:tcPr>
            <w:tcW w:w="1134" w:type="dxa"/>
            <w:vAlign w:val="center"/>
            <w:textDirection w:val="lrTb"/>
            <w:noWrap w:val="false"/>
          </w:tcPr>
          <w:p>
            <w:pPr>
              <w:pStyle w:val="905"/>
              <w:jc w:val="center"/>
              <w:spacing w:before="5"/>
              <w:rPr>
                <w:color w:val="auto"/>
                <w:sz w:val="18"/>
                <w:highlight w:val="none"/>
              </w:rPr>
            </w:pPr>
            <w:r>
              <w:rPr>
                <w:rFonts w:hint="eastAsia"/>
                <w:color w:val="auto"/>
                <w:sz w:val="18"/>
                <w:highlight w:val="none"/>
              </w:rPr>
              <w:t xml:space="preserve">单报价</w:t>
            </w:r>
            <w:r>
              <w:rPr>
                <w:color w:val="auto"/>
                <w:sz w:val="18"/>
                <w:highlight w:val="none"/>
              </w:rPr>
            </w:r>
            <w:r>
              <w:rPr>
                <w:color w:val="auto"/>
                <w:highlight w:val="none"/>
              </w:rPr>
            </w:r>
          </w:p>
        </w:tc>
        <w:tc>
          <w:tcPr>
            <w:tcW w:w="1276" w:type="dxa"/>
            <w:vAlign w:val="center"/>
            <w:textDirection w:val="lrTb"/>
            <w:noWrap w:val="false"/>
          </w:tcPr>
          <w:p>
            <w:pPr>
              <w:pStyle w:val="905"/>
              <w:jc w:val="center"/>
              <w:spacing w:before="5"/>
              <w:rPr>
                <w:color w:val="auto"/>
                <w:sz w:val="18"/>
                <w:highlight w:val="none"/>
              </w:rPr>
            </w:pPr>
            <w:r>
              <w:rPr>
                <w:rFonts w:hint="eastAsia"/>
                <w:color w:val="auto"/>
                <w:sz w:val="18"/>
                <w:highlight w:val="none"/>
              </w:rPr>
              <w:t xml:space="preserve">分项总报价</w:t>
            </w:r>
            <w:r>
              <w:rPr>
                <w:color w:val="auto"/>
                <w:sz w:val="18"/>
                <w:highlight w:val="none"/>
              </w:rPr>
            </w:r>
            <w:r>
              <w:rPr>
                <w:color w:val="auto"/>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55"/>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rFonts w:ascii="宋体"/>
                <w:color w:val="auto"/>
                <w:highlight w:val="none"/>
                <w:lang w:val="en-US" w:eastAsia="zh-CN"/>
              </w:rPr>
            </w:r>
            <w:r>
              <w:rPr>
                <w:color w:val="auto"/>
                <w:highlight w:val="none"/>
              </w:rPr>
            </w:r>
          </w:p>
        </w:tc>
        <w:tc>
          <w:tcPr>
            <w:tcMar>
              <w:left w:w="15" w:type="dxa"/>
              <w:top w:w="15" w:type="dxa"/>
              <w:right w:w="15" w:type="dxa"/>
              <w:bottom w:w="0" w:type="dxa"/>
            </w:tcMar>
            <w:tcW w:w="4930" w:type="dxa"/>
            <w:vAlign w:val="center"/>
            <w:textDirection w:val="lrTb"/>
            <w:noWrap/>
          </w:tcPr>
          <w:p>
            <w:pPr>
              <w:pStyle w:val="905"/>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905"/>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05"/>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905"/>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05"/>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05"/>
              <w:jc w:val="center"/>
              <w:rPr>
                <w:rFonts w:ascii="宋体"/>
                <w:color w:val="auto"/>
                <w:sz w:val="18"/>
                <w:highlight w:val="none"/>
              </w:rPr>
            </w:pPr>
            <w:r>
              <w:rPr>
                <w:rFonts w:hint="eastAsia" w:ascii="宋体"/>
                <w:color w:val="auto"/>
                <w:sz w:val="18"/>
                <w:highlight w:val="none"/>
              </w:rPr>
              <w:t xml:space="preserve">2</w:t>
            </w: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05"/>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905"/>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05"/>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905"/>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05"/>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05"/>
              <w:jc w:val="center"/>
              <w:rPr>
                <w:rFonts w:ascii="宋体"/>
                <w:color w:val="auto"/>
                <w:sz w:val="18"/>
                <w:highlight w:val="none"/>
              </w:rPr>
            </w:pP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05"/>
              <w:jc w:val="center"/>
              <w:rPr>
                <w:rFonts w:hint="eastAsia" w:ascii="黑体" w:eastAsia="黑体"/>
                <w:b/>
                <w:bCs/>
                <w:color w:val="auto"/>
                <w:highlight w:val="none"/>
              </w:rPr>
            </w:pPr>
            <w:r>
              <w:rPr>
                <w:rFonts w:ascii="黑体" w:eastAsia="黑体"/>
                <w:b/>
                <w:bCs/>
                <w:color w:val="auto"/>
                <w:highlight w:val="none"/>
              </w:rPr>
              <w:t xml:space="preserve">……</w:t>
            </w:r>
            <w:r>
              <w:rPr>
                <w:rFonts w:hint="eastAsia" w:ascii="黑体" w:eastAsia="黑体"/>
                <w:b/>
                <w:bCs/>
                <w:color w:val="auto"/>
                <w:highlight w:val="none"/>
              </w:rPr>
            </w:r>
            <w:r>
              <w:rPr>
                <w:color w:val="auto"/>
                <w:highlight w:val="none"/>
              </w:rPr>
            </w:r>
          </w:p>
        </w:tc>
        <w:tc>
          <w:tcPr>
            <w:tcW w:w="851" w:type="dxa"/>
            <w:vAlign w:val="center"/>
            <w:textDirection w:val="lrTb"/>
            <w:noWrap w:val="false"/>
          </w:tcPr>
          <w:p>
            <w:pPr>
              <w:pStyle w:val="905"/>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05"/>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1134" w:type="dxa"/>
            <w:vAlign w:val="center"/>
            <w:textDirection w:val="lrTb"/>
            <w:noWrap w:val="false"/>
          </w:tcPr>
          <w:p>
            <w:pPr>
              <w:pStyle w:val="905"/>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05"/>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bl>
    <w:p>
      <w:pPr>
        <w:pStyle w:val="905"/>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rPr>
          <w:b/>
          <w:bCs/>
          <w:color w:val="auto"/>
          <w:sz w:val="24"/>
          <w:szCs w:val="24"/>
          <w:highlight w:val="none"/>
        </w:rPr>
      </w:r>
      <w:r>
        <w:rPr>
          <w:color w:val="auto"/>
          <w:highlight w:val="none"/>
        </w:rPr>
      </w:r>
    </w:p>
    <w:p>
      <w:pPr>
        <w:pStyle w:val="905"/>
        <w:spacing w:line="400" w:lineRule="exact"/>
        <w:rPr>
          <w:rFonts w:hint="eastAsia" w:ascii="宋体" w:hAnsi="宋体"/>
          <w:b/>
          <w:color w:val="auto"/>
          <w:highlight w:val="none"/>
        </w:rPr>
        <w:outlineLvl w:val="0"/>
      </w:pPr>
      <w:r>
        <w:rPr>
          <w:rFonts w:hint="eastAsia" w:ascii="宋体" w:hAnsi="宋体"/>
          <w:b/>
          <w:color w:val="auto"/>
          <w:highlight w:val="none"/>
        </w:rPr>
      </w:r>
      <w:r>
        <w:rPr>
          <w:color w:val="auto"/>
          <w:highlight w:val="none"/>
        </w:rPr>
      </w:r>
    </w:p>
    <w:p>
      <w:pPr>
        <w:pStyle w:val="905"/>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auto"/>
          <w:highlight w:val="none"/>
        </w:rPr>
      </w:r>
      <w:r>
        <w:rPr>
          <w:color w:val="auto"/>
          <w:highlight w:val="none"/>
        </w:rPr>
      </w:r>
    </w:p>
    <w:p>
      <w:pPr>
        <w:pStyle w:val="905"/>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w:t>
      </w:r>
      <w:r>
        <w:rPr>
          <w:rFonts w:hint="eastAsia" w:ascii="宋体" w:hAnsi="宋体"/>
          <w:bCs/>
          <w:color w:val="auto"/>
          <w:highlight w:val="none"/>
        </w:rPr>
        <w:t xml:space="preserve">采购需求</w:t>
      </w:r>
      <w:r>
        <w:rPr>
          <w:rFonts w:hint="eastAsia" w:ascii="宋体" w:hAnsi="宋体"/>
          <w:bCs/>
          <w:color w:val="auto"/>
          <w:highlight w:val="none"/>
        </w:rPr>
        <w:t xml:space="preserve">”的内容在上表中详细填写；</w:t>
      </w:r>
      <w:r>
        <w:rPr>
          <w:rFonts w:ascii="宋体"/>
          <w:bCs/>
          <w:color w:val="auto"/>
          <w:highlight w:val="none"/>
        </w:rPr>
      </w:r>
      <w:r>
        <w:rPr>
          <w:color w:val="auto"/>
          <w:highlight w:val="none"/>
        </w:rPr>
      </w:r>
    </w:p>
    <w:p>
      <w:pPr>
        <w:pStyle w:val="905"/>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rPr>
          <w:rFonts w:ascii="宋体" w:hAnsi="宋体"/>
          <w:bCs/>
          <w:color w:val="auto"/>
          <w:highlight w:val="none"/>
        </w:rPr>
      </w:r>
      <w:r>
        <w:rPr>
          <w:color w:val="auto"/>
          <w:highlight w:val="none"/>
        </w:rPr>
      </w:r>
    </w:p>
    <w:p>
      <w:pPr>
        <w:pStyle w:val="905"/>
        <w:spacing w:line="400" w:lineRule="exact"/>
        <w:rPr>
          <w:rFonts w:hint="eastAsia"/>
          <w:b/>
          <w:color w:val="auto"/>
          <w:sz w:val="28"/>
          <w:szCs w:val="28"/>
          <w:highlight w:val="none"/>
        </w:rPr>
        <w:outlineLvl w:val="0"/>
      </w:pPr>
      <w:r>
        <w:rPr>
          <w:rFonts w:ascii="宋体" w:hAnsi="宋体"/>
          <w:bCs/>
          <w:color w:val="auto"/>
          <w:highlight w:val="none"/>
        </w:rPr>
        <w:br w:type="page" w:clear="all"/>
      </w:r>
      <w:bookmarkEnd w:id="210"/>
      <w:r>
        <w:rPr>
          <w:color w:val="auto"/>
          <w:highlight w:val="none"/>
        </w:rPr>
      </w:r>
      <w:bookmarkEnd w:id="211"/>
      <w:r>
        <w:rPr>
          <w:color w:val="auto"/>
          <w:highlight w:val="none"/>
        </w:rPr>
      </w:r>
      <w:bookmarkEnd w:id="212"/>
      <w:r>
        <w:rPr>
          <w:color w:val="auto"/>
          <w:highlight w:val="none"/>
        </w:rPr>
      </w:r>
      <w:bookmarkStart w:id="215"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rPr>
          <w:color w:val="auto"/>
          <w:highlight w:val="none"/>
        </w:rPr>
      </w:r>
    </w:p>
    <w:p>
      <w:pPr>
        <w:pStyle w:val="905"/>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05"/>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rFonts w:ascii="黑体" w:eastAsia="黑体"/>
          <w:bCs/>
          <w:color w:val="auto"/>
          <w:sz w:val="28"/>
          <w:szCs w:val="28"/>
          <w:highlight w:val="none"/>
        </w:rPr>
      </w:r>
      <w:r>
        <w:rPr>
          <w:color w:val="auto"/>
          <w:highlight w:val="none"/>
        </w:rPr>
      </w:r>
    </w:p>
    <w:p>
      <w:pPr>
        <w:pStyle w:val="905"/>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05"/>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05"/>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JSZC-320200-JZCG-G2025-0188</w:t>
      </w:r>
      <w:r>
        <w:rPr>
          <w:rFonts w:ascii="黑体" w:eastAsia="黑体"/>
          <w:bCs/>
          <w:color w:val="auto"/>
          <w:sz w:val="24"/>
          <w:szCs w:val="24"/>
          <w:highlight w:val="none"/>
        </w:rPr>
      </w:r>
      <w:r>
        <w:rPr>
          <w:color w:val="auto"/>
          <w:highlight w:val="none"/>
        </w:rP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5"/>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5"/>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5"/>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5"/>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rFonts w:ascii="宋体"/>
                <w:b/>
                <w:bCs/>
                <w:color w:val="auto"/>
                <w:sz w:val="24"/>
                <w:szCs w:val="24"/>
                <w:highlight w:val="none"/>
              </w:rPr>
            </w:r>
            <w:r>
              <w:rPr>
                <w:color w:val="auto"/>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05"/>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5"/>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05"/>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05"/>
              <w:jc w:val="center"/>
              <w:rPr>
                <w:rFonts w:ascii="宋体"/>
                <w:bCs/>
                <w:color w:val="auto"/>
                <w:highlight w:val="none"/>
              </w:rPr>
            </w:pPr>
            <w:r>
              <w:rPr>
                <w:rFonts w:ascii="宋体"/>
                <w:bCs/>
                <w:color w:val="auto"/>
                <w:highlight w:val="none"/>
              </w:rPr>
            </w:r>
            <w:r>
              <w:rPr>
                <w:color w:val="auto"/>
                <w:highlight w:val="none"/>
              </w:rPr>
            </w:r>
          </w:p>
        </w:tc>
      </w:tr>
    </w:tbl>
    <w:p>
      <w:pPr>
        <w:pStyle w:val="905"/>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rPr>
          <w:rFonts w:hint="eastAsia" w:ascii="宋体" w:eastAsia="黑体"/>
          <w:b/>
          <w:color w:val="auto"/>
          <w:sz w:val="24"/>
          <w:szCs w:val="24"/>
          <w:highlight w:val="none"/>
        </w:rPr>
      </w:r>
      <w:r>
        <w:rPr>
          <w:color w:val="auto"/>
          <w:highlight w:val="none"/>
        </w:rPr>
      </w:r>
    </w:p>
    <w:p>
      <w:pPr>
        <w:pStyle w:val="905"/>
        <w:rPr>
          <w:rFonts w:ascii="宋体"/>
          <w:bCs/>
          <w:color w:val="auto"/>
          <w:sz w:val="30"/>
          <w:highlight w:val="none"/>
        </w:rPr>
      </w:pPr>
      <w:r>
        <w:rPr>
          <w:rFonts w:ascii="宋体"/>
          <w:bCs/>
          <w:color w:val="auto"/>
          <w:sz w:val="30"/>
          <w:highlight w:val="none"/>
        </w:rPr>
      </w:r>
      <w:r>
        <w:rPr>
          <w:color w:val="auto"/>
          <w:highlight w:val="none"/>
        </w:rPr>
      </w:r>
    </w:p>
    <w:p>
      <w:pPr>
        <w:pStyle w:val="905"/>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rFonts w:ascii="宋体" w:hAnsi="宋体"/>
          <w:bCs/>
          <w:color w:val="auto"/>
          <w:sz w:val="24"/>
          <w:szCs w:val="24"/>
          <w:highlight w:val="none"/>
        </w:rPr>
      </w:r>
      <w:r>
        <w:rPr>
          <w:color w:val="auto"/>
          <w:highlight w:val="none"/>
        </w:rPr>
      </w:r>
    </w:p>
    <w:p>
      <w:pPr>
        <w:pStyle w:val="905"/>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rPr>
          <w:rFonts w:ascii="宋体" w:hAnsi="宋体"/>
          <w:bCs/>
          <w:color w:val="auto"/>
          <w:sz w:val="24"/>
          <w:szCs w:val="24"/>
          <w:highlight w:val="none"/>
        </w:rPr>
      </w:r>
      <w:r>
        <w:rPr>
          <w:color w:val="auto"/>
          <w:highlight w:val="none"/>
        </w:rPr>
      </w:r>
    </w:p>
    <w:p>
      <w:pPr>
        <w:pStyle w:val="905"/>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r>
        <w:rPr>
          <w:color w:val="auto"/>
          <w:highlight w:val="none"/>
        </w:rPr>
      </w:r>
      <w:bookmarkEnd w:id="190"/>
      <w:r>
        <w:rPr>
          <w:color w:val="auto"/>
          <w:highlight w:val="none"/>
        </w:rPr>
      </w:r>
      <w:bookmarkEnd w:id="215"/>
      <w:r>
        <w:rPr>
          <w:color w:val="auto"/>
          <w:highlight w:val="none"/>
        </w:rPr>
      </w:r>
      <w:bookmarkStart w:id="216" w:name="_Hlt26671374"/>
      <w:r>
        <w:rPr>
          <w:color w:val="auto"/>
          <w:highlight w:val="none"/>
        </w:rPr>
      </w:r>
      <w:bookmarkEnd w:id="216"/>
      <w:r>
        <w:rPr>
          <w:color w:val="auto"/>
          <w:highlight w:val="none"/>
        </w:rPr>
      </w:r>
      <w:bookmarkStart w:id="217" w:name="_格式2__法定代表人授权书"/>
      <w:r>
        <w:rPr>
          <w:color w:val="auto"/>
          <w:highlight w:val="none"/>
        </w:rPr>
      </w:r>
      <w:bookmarkEnd w:id="217"/>
      <w:r>
        <w:rPr>
          <w:color w:val="auto"/>
          <w:highlight w:val="none"/>
        </w:rPr>
      </w:r>
      <w:bookmarkStart w:id="218" w:name="_Hlt26955066"/>
      <w:r>
        <w:rPr>
          <w:color w:val="auto"/>
          <w:highlight w:val="none"/>
        </w:rPr>
      </w:r>
      <w:bookmarkEnd w:id="218"/>
      <w:r>
        <w:rPr>
          <w:color w:val="auto"/>
          <w:highlight w:val="none"/>
        </w:rPr>
      </w:r>
      <w:bookmarkStart w:id="219" w:name="_Hlt26609389"/>
      <w:r>
        <w:rPr>
          <w:color w:val="auto"/>
          <w:highlight w:val="none"/>
        </w:rPr>
      </w:r>
      <w:bookmarkEnd w:id="219"/>
      <w:r>
        <w:rPr>
          <w:rFonts w:hint="eastAsia" w:ascii="宋体" w:hAnsi="宋体"/>
          <w:bCs/>
          <w:color w:val="auto"/>
          <w:sz w:val="24"/>
          <w:szCs w:val="24"/>
          <w:highlight w:val="none"/>
        </w:rPr>
      </w:r>
      <w:r>
        <w:rPr>
          <w:color w:val="auto"/>
          <w:highlight w:val="none"/>
        </w:rPr>
      </w:r>
    </w:p>
    <w:p>
      <w:pPr>
        <w:pStyle w:val="905"/>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rPr>
          <w:color w:val="auto"/>
          <w:highlight w:val="none"/>
        </w:rPr>
      </w:r>
    </w:p>
    <w:p>
      <w:pPr>
        <w:pStyle w:val="905"/>
        <w:ind w:firstLine="420"/>
        <w:rPr>
          <w:rFonts w:ascii="宋体" w:hAnsi="宋体"/>
          <w:bCs/>
          <w:color w:val="auto"/>
          <w:sz w:val="24"/>
          <w:szCs w:val="24"/>
          <w:highlight w:val="none"/>
        </w:rPr>
        <w:outlineLvl w:val="0"/>
      </w:pPr>
      <w:r>
        <w:rPr>
          <w:rFonts w:ascii="宋体" w:hAnsi="宋体"/>
          <w:bCs/>
          <w:color w:val="auto"/>
          <w:sz w:val="24"/>
          <w:szCs w:val="24"/>
          <w:highlight w:val="none"/>
        </w:rPr>
      </w:r>
      <w:r>
        <w:rPr>
          <w:color w:val="auto"/>
          <w:highlight w:val="none"/>
        </w:rPr>
      </w:r>
    </w:p>
    <w:p>
      <w:pPr>
        <w:pStyle w:val="905"/>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w:t>
      </w:r>
      <w:r>
        <w:rPr>
          <w:rFonts w:hint="eastAsia"/>
          <w:b/>
          <w:color w:val="auto"/>
          <w:sz w:val="28"/>
          <w:szCs w:val="28"/>
          <w:highlight w:val="none"/>
        </w:rPr>
        <w:t xml:space="preserve">、</w:t>
      </w:r>
      <w:r>
        <w:rPr>
          <w:rFonts w:hint="eastAsia"/>
          <w:b/>
          <w:color w:val="auto"/>
          <w:sz w:val="28"/>
          <w:szCs w:val="28"/>
          <w:highlight w:val="none"/>
        </w:rPr>
        <w:t xml:space="preserve">项目人员配置清单（格式）</w:t>
      </w:r>
      <w:r>
        <w:rPr>
          <w:b/>
          <w:color w:val="auto"/>
          <w:sz w:val="28"/>
          <w:szCs w:val="28"/>
          <w:highlight w:val="none"/>
        </w:rPr>
      </w:r>
      <w:r>
        <w:rPr>
          <w:color w:val="auto"/>
          <w:highlight w:val="none"/>
        </w:rPr>
      </w:r>
    </w:p>
    <w:p>
      <w:pPr>
        <w:pStyle w:val="905"/>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05"/>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rPr>
          <w:color w:val="auto"/>
          <w:highlight w:val="none"/>
        </w:rPr>
      </w:r>
    </w:p>
    <w:p>
      <w:pPr>
        <w:pStyle w:val="905"/>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05"/>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JSZC-320200-JZCG-G2025-0188</w:t>
      </w:r>
      <w:r>
        <w:rPr>
          <w:rFonts w:ascii="黑体" w:eastAsia="黑体"/>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05"/>
              <w:jc w:val="center"/>
              <w:rPr>
                <w:b/>
                <w:color w:val="auto"/>
                <w:sz w:val="24"/>
                <w:highlight w:val="none"/>
              </w:rPr>
            </w:pPr>
            <w:r>
              <w:rPr>
                <w:rFonts w:hint="eastAsia"/>
                <w:b/>
                <w:color w:val="auto"/>
                <w:sz w:val="24"/>
                <w:highlight w:val="none"/>
              </w:rPr>
              <w:t xml:space="preserve">序号</w:t>
            </w:r>
            <w:r>
              <w:rPr>
                <w:b/>
                <w:color w:val="auto"/>
                <w:sz w:val="24"/>
                <w:highlight w:val="none"/>
              </w:rPr>
            </w:r>
            <w:r>
              <w:rPr>
                <w:color w:val="auto"/>
                <w:highlight w:val="none"/>
              </w:rPr>
            </w:r>
          </w:p>
        </w:tc>
        <w:tc>
          <w:tcPr>
            <w:tcW w:w="1476" w:type="dxa"/>
            <w:vAlign w:val="center"/>
            <w:textDirection w:val="lrTb"/>
            <w:noWrap w:val="false"/>
          </w:tcPr>
          <w:p>
            <w:pPr>
              <w:pStyle w:val="905"/>
              <w:jc w:val="center"/>
              <w:rPr>
                <w:b/>
                <w:color w:val="auto"/>
                <w:sz w:val="24"/>
                <w:highlight w:val="none"/>
              </w:rPr>
            </w:pPr>
            <w:r>
              <w:rPr>
                <w:rFonts w:hint="eastAsia"/>
                <w:b/>
                <w:color w:val="auto"/>
                <w:sz w:val="24"/>
                <w:highlight w:val="none"/>
              </w:rPr>
              <w:t xml:space="preserve">姓名</w:t>
            </w:r>
            <w:r>
              <w:rPr>
                <w:b/>
                <w:color w:val="auto"/>
                <w:sz w:val="24"/>
                <w:highlight w:val="none"/>
              </w:rPr>
            </w:r>
            <w:r>
              <w:rPr>
                <w:color w:val="auto"/>
                <w:highlight w:val="none"/>
              </w:rPr>
            </w:r>
          </w:p>
        </w:tc>
        <w:tc>
          <w:tcPr>
            <w:tcW w:w="720" w:type="dxa"/>
            <w:vAlign w:val="center"/>
            <w:textDirection w:val="lrTb"/>
            <w:noWrap w:val="false"/>
          </w:tcPr>
          <w:p>
            <w:pPr>
              <w:pStyle w:val="905"/>
              <w:jc w:val="center"/>
              <w:rPr>
                <w:b/>
                <w:color w:val="auto"/>
                <w:sz w:val="24"/>
                <w:highlight w:val="none"/>
              </w:rPr>
            </w:pPr>
            <w:r>
              <w:rPr>
                <w:rFonts w:hint="eastAsia"/>
                <w:b/>
                <w:color w:val="auto"/>
                <w:sz w:val="24"/>
                <w:highlight w:val="none"/>
              </w:rPr>
              <w:t xml:space="preserve">年龄</w:t>
            </w:r>
            <w:r>
              <w:rPr>
                <w:b/>
                <w:color w:val="auto"/>
                <w:sz w:val="24"/>
                <w:highlight w:val="none"/>
              </w:rPr>
            </w:r>
            <w:r>
              <w:rPr>
                <w:color w:val="auto"/>
                <w:highlight w:val="none"/>
              </w:rPr>
            </w:r>
          </w:p>
        </w:tc>
        <w:tc>
          <w:tcPr>
            <w:tcW w:w="2520" w:type="dxa"/>
            <w:vAlign w:val="center"/>
            <w:textDirection w:val="lrTb"/>
            <w:noWrap w:val="false"/>
          </w:tcPr>
          <w:p>
            <w:pPr>
              <w:pStyle w:val="905"/>
              <w:jc w:val="center"/>
              <w:rPr>
                <w:b/>
                <w:color w:val="auto"/>
                <w:sz w:val="24"/>
                <w:highlight w:val="none"/>
              </w:rPr>
            </w:pPr>
            <w:r>
              <w:rPr>
                <w:rFonts w:hint="eastAsia"/>
                <w:b/>
                <w:color w:val="auto"/>
                <w:sz w:val="24"/>
                <w:highlight w:val="none"/>
              </w:rPr>
              <w:t xml:space="preserve">本项目职责</w:t>
            </w:r>
            <w:r>
              <w:rPr>
                <w:b/>
                <w:color w:val="auto"/>
                <w:sz w:val="24"/>
                <w:highlight w:val="none"/>
              </w:rPr>
            </w:r>
            <w:r>
              <w:rPr>
                <w:color w:val="auto"/>
                <w:highlight w:val="none"/>
              </w:rPr>
            </w:r>
          </w:p>
        </w:tc>
        <w:tc>
          <w:tcPr>
            <w:tcW w:w="3274" w:type="dxa"/>
            <w:vAlign w:val="center"/>
            <w:textDirection w:val="lrTb"/>
            <w:noWrap w:val="false"/>
          </w:tcPr>
          <w:p>
            <w:pPr>
              <w:pStyle w:val="905"/>
              <w:jc w:val="center"/>
              <w:rPr>
                <w:b/>
                <w:color w:val="auto"/>
                <w:sz w:val="24"/>
                <w:highlight w:val="none"/>
              </w:rPr>
            </w:pPr>
            <w:r>
              <w:rPr>
                <w:rFonts w:hint="eastAsia"/>
                <w:b/>
                <w:color w:val="auto"/>
                <w:sz w:val="24"/>
                <w:highlight w:val="none"/>
              </w:rPr>
              <w:t xml:space="preserve">人员证书名称</w:t>
            </w:r>
            <w:r>
              <w:rPr>
                <w:b/>
                <w:color w:val="auto"/>
                <w:sz w:val="24"/>
                <w:highlight w:val="none"/>
              </w:rPr>
            </w:r>
            <w:r>
              <w:rPr>
                <w:color w:val="auto"/>
                <w:highlight w:val="none"/>
              </w:rPr>
            </w:r>
          </w:p>
        </w:tc>
      </w:tr>
      <w:tr>
        <w:trPr>
          <w:trHeight w:val="680"/>
        </w:trPr>
        <w:tc>
          <w:tcPr>
            <w:tcW w:w="70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05"/>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bl>
    <w:p>
      <w:pPr>
        <w:pStyle w:val="905"/>
        <w:rPr>
          <w:b/>
          <w:bCs/>
          <w:color w:val="auto"/>
          <w:sz w:val="24"/>
          <w:szCs w:val="24"/>
          <w:highlight w:val="none"/>
        </w:rPr>
      </w:pPr>
      <w:r>
        <w:rPr>
          <w:rFonts w:hint="eastAsia" w:ascii="黑体" w:eastAsia="黑体"/>
          <w:bCs/>
          <w:color w:val="auto"/>
          <w:sz w:val="24"/>
          <w:szCs w:val="24"/>
          <w:highlight w:val="none"/>
        </w:rPr>
        <w:t xml:space="preserve">投标人名称（盖章）</w:t>
      </w:r>
      <w:r>
        <w:rPr>
          <w:b/>
          <w:bCs/>
          <w:color w:val="auto"/>
          <w:sz w:val="24"/>
          <w:szCs w:val="24"/>
          <w:highlight w:val="none"/>
        </w:rPr>
      </w:r>
      <w:r>
        <w:rPr>
          <w:color w:val="auto"/>
          <w:highlight w:val="none"/>
        </w:rPr>
      </w:r>
    </w:p>
    <w:p>
      <w:pPr>
        <w:pStyle w:val="905"/>
        <w:rPr>
          <w:rFonts w:hint="eastAsia" w:ascii="宋体" w:hAnsi="宋体"/>
          <w:bCs/>
          <w:color w:val="auto"/>
          <w:highlight w:val="none"/>
        </w:rPr>
      </w:pPr>
      <w:r>
        <w:rPr>
          <w:rFonts w:hint="eastAsia" w:ascii="宋体" w:hAnsi="宋体"/>
          <w:bCs/>
          <w:color w:val="auto"/>
          <w:highlight w:val="none"/>
        </w:rPr>
      </w:r>
      <w:r>
        <w:rPr>
          <w:color w:val="auto"/>
          <w:highlight w:val="none"/>
        </w:rPr>
      </w:r>
    </w:p>
    <w:p>
      <w:pPr>
        <w:pStyle w:val="905"/>
        <w:rPr>
          <w:rFonts w:ascii="宋体" w:hAnsi="宋体"/>
          <w:bCs/>
          <w:color w:val="auto"/>
          <w:highlight w:val="none"/>
        </w:rPr>
      </w:pPr>
      <w:r>
        <w:rPr>
          <w:rFonts w:hint="eastAsia" w:ascii="宋体" w:hAnsi="宋体"/>
          <w:bCs/>
          <w:color w:val="auto"/>
          <w:highlight w:val="none"/>
        </w:rPr>
        <w:t xml:space="preserve">注：1. 表格不够可自行延长。</w:t>
      </w:r>
      <w:r>
        <w:rPr>
          <w:rFonts w:ascii="宋体" w:hAnsi="宋体"/>
          <w:bCs/>
          <w:color w:val="auto"/>
          <w:highlight w:val="none"/>
        </w:rPr>
      </w:r>
      <w:r>
        <w:rPr>
          <w:color w:val="auto"/>
          <w:highlight w:val="none"/>
        </w:rPr>
      </w:r>
    </w:p>
    <w:p>
      <w:pPr>
        <w:pStyle w:val="905"/>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auto"/>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Fonts w:ascii="宋体" w:hAnsi="宋体"/>
      </w:rPr>
      <w:framePr w:wrap="around" w:vAnchor="text" w:hAnchor="margin" w:xAlign="center" w:y="1"/>
    </w:pPr>
    <w:r>
      <w:rPr>
        <w:rFonts w:ascii="宋体" w:hAnsi="宋体"/>
      </w:rPr>
      <w:fldChar w:fldCharType="begin"/>
    </w:r>
    <w:r>
      <w:rPr>
        <w:rStyle w:val="978"/>
        <w:rFonts w:ascii="宋体" w:hAnsi="宋体"/>
      </w:rPr>
      <w:instrText xml:space="preserve">PAGE  </w:instrText>
    </w:r>
    <w:r>
      <w:rPr>
        <w:rFonts w:ascii="宋体" w:hAnsi="宋体"/>
      </w:rPr>
      <w:fldChar w:fldCharType="separate"/>
    </w:r>
    <w:r>
      <w:rPr>
        <w:rStyle w:val="978"/>
        <w:rFonts w:ascii="宋体" w:hAnsi="宋体"/>
      </w:rPr>
      <w:t xml:space="preserve">３６</w:t>
    </w:r>
    <w:r>
      <w:rPr>
        <w:rFonts w:ascii="宋体" w:hAnsi="宋体"/>
      </w:rPr>
      <w:fldChar w:fldCharType="end"/>
    </w:r>
    <w:r>
      <w:rPr>
        <w:rStyle w:val="978"/>
        <w:rFonts w:ascii="宋体" w:hAnsi="宋体"/>
      </w:rPr>
    </w:r>
    <w:r/>
  </w:p>
  <w:p>
    <w:pPr>
      <w:pStyle w:val="953"/>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rPr>
        <w:rStyle w:val="978"/>
      </w:rPr>
      <w:framePr w:wrap="around" w:vAnchor="text" w:hAnchor="margin" w:xAlign="center" w:y="1"/>
    </w:pPr>
    <w:r>
      <w:fldChar w:fldCharType="begin"/>
    </w:r>
    <w:r>
      <w:rPr>
        <w:rStyle w:val="978"/>
      </w:rPr>
      <w:instrText xml:space="preserve">PAGE  </w:instrText>
    </w:r>
    <w:r>
      <w:fldChar w:fldCharType="separate"/>
    </w:r>
    <w:r>
      <w:rPr>
        <w:rStyle w:val="978"/>
      </w:rPr>
      <w:t xml:space="preserve">1</w:t>
    </w:r>
    <w:r>
      <w:fldChar w:fldCharType="end"/>
    </w:r>
    <w:r>
      <w:rPr>
        <w:rStyle w:val="978"/>
      </w:rPr>
    </w:r>
    <w:r/>
  </w:p>
  <w:p>
    <w:pPr>
      <w:pStyle w:val="9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85"/>
      <w:isLgl w:val="false"/>
      <w:suff w:val="tab"/>
      <w:lvlText w:val="附录%1."/>
      <w:lvlJc w:val="left"/>
      <w:pPr>
        <w:pStyle w:val="90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5">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6">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7">
    <w:multiLevelType w:val="hybridMultilevel"/>
    <w:lvl w:ilvl="0">
      <w:start w:val="1"/>
      <w:numFmt w:val="japaneseCounting"/>
      <w:isLgl w:val="false"/>
      <w:suff w:val="tab"/>
      <w:lvlText w:val="第%1条"/>
      <w:lvlJc w:val="left"/>
      <w:pPr>
        <w:pStyle w:val="905"/>
        <w:ind w:left="1505" w:hanging="945"/>
        <w:tabs>
          <w:tab w:val="num" w:pos="1505" w:leader="none"/>
        </w:tabs>
      </w:pPr>
      <w:rPr>
        <w:rFonts w:hint="eastAsia"/>
      </w:rPr>
    </w:lvl>
    <w:lvl w:ilvl="1">
      <w:start w:val="1"/>
      <w:numFmt w:val="decimal"/>
      <w:isLgl w:val="false"/>
      <w:suff w:val="tab"/>
      <w:lvlText w:val="%2、"/>
      <w:lvlJc w:val="left"/>
      <w:pPr>
        <w:pStyle w:val="905"/>
        <w:ind w:left="1340" w:hanging="360"/>
        <w:tabs>
          <w:tab w:val="num" w:pos="1340" w:leader="none"/>
        </w:tabs>
      </w:pPr>
      <w:rPr>
        <w:rFonts w:hint="eastAsia"/>
      </w:rPr>
    </w:lvl>
    <w:lvl w:ilvl="2">
      <w:start w:val="1"/>
      <w:numFmt w:val="japaneseCounting"/>
      <w:isLgl w:val="false"/>
      <w:suff w:val="tab"/>
      <w:lvlText w:val="%3、"/>
      <w:lvlJc w:val="left"/>
      <w:pPr>
        <w:pStyle w:val="905"/>
        <w:ind w:left="1820" w:hanging="420"/>
        <w:tabs>
          <w:tab w:val="num" w:pos="1820" w:leader="none"/>
        </w:tabs>
      </w:pPr>
      <w:rPr>
        <w:rFonts w:hint="eastAsia"/>
      </w:rPr>
    </w:lvl>
    <w:lvl w:ilvl="3">
      <w:start w:val="1"/>
      <w:numFmt w:val="decimal"/>
      <w:isLgl w:val="false"/>
      <w:suff w:val="tab"/>
      <w:lvlText w:val="%4."/>
      <w:lvlJc w:val="left"/>
      <w:pPr>
        <w:pStyle w:val="905"/>
        <w:ind w:left="2240" w:hanging="420"/>
        <w:tabs>
          <w:tab w:val="num" w:pos="2240" w:leader="none"/>
        </w:tabs>
      </w:pPr>
    </w:lvl>
    <w:lvl w:ilvl="4">
      <w:start w:val="1"/>
      <w:numFmt w:val="lowerLetter"/>
      <w:isLgl w:val="false"/>
      <w:suff w:val="tab"/>
      <w:lvlText w:val="%5)"/>
      <w:lvlJc w:val="left"/>
      <w:pPr>
        <w:pStyle w:val="905"/>
        <w:ind w:left="2660" w:hanging="420"/>
        <w:tabs>
          <w:tab w:val="num" w:pos="2660" w:leader="none"/>
        </w:tabs>
      </w:pPr>
    </w:lvl>
    <w:lvl w:ilvl="5">
      <w:start w:val="1"/>
      <w:numFmt w:val="lowerRoman"/>
      <w:isLgl w:val="false"/>
      <w:suff w:val="tab"/>
      <w:lvlText w:val="%6."/>
      <w:lvlJc w:val="right"/>
      <w:pPr>
        <w:pStyle w:val="905"/>
        <w:ind w:left="3080" w:hanging="420"/>
        <w:tabs>
          <w:tab w:val="num" w:pos="3080" w:leader="none"/>
        </w:tabs>
      </w:pPr>
    </w:lvl>
    <w:lvl w:ilvl="6">
      <w:start w:val="1"/>
      <w:numFmt w:val="decimal"/>
      <w:isLgl w:val="false"/>
      <w:suff w:val="tab"/>
      <w:lvlText w:val="%7."/>
      <w:lvlJc w:val="left"/>
      <w:pPr>
        <w:pStyle w:val="905"/>
        <w:ind w:left="3500" w:hanging="420"/>
        <w:tabs>
          <w:tab w:val="num" w:pos="3500" w:leader="none"/>
        </w:tabs>
      </w:pPr>
    </w:lvl>
    <w:lvl w:ilvl="7">
      <w:start w:val="1"/>
      <w:numFmt w:val="lowerLetter"/>
      <w:isLgl w:val="false"/>
      <w:suff w:val="tab"/>
      <w:lvlText w:val="%8)"/>
      <w:lvlJc w:val="left"/>
      <w:pPr>
        <w:pStyle w:val="905"/>
        <w:ind w:left="3920" w:hanging="420"/>
        <w:tabs>
          <w:tab w:val="num" w:pos="3920" w:leader="none"/>
        </w:tabs>
      </w:pPr>
    </w:lvl>
    <w:lvl w:ilvl="8">
      <w:start w:val="1"/>
      <w:numFmt w:val="lowerRoman"/>
      <w:isLgl w:val="false"/>
      <w:suff w:val="tab"/>
      <w:lvlText w:val="%9."/>
      <w:lvlJc w:val="right"/>
      <w:pPr>
        <w:pStyle w:val="905"/>
        <w:ind w:left="4340" w:hanging="420"/>
        <w:tabs>
          <w:tab w:val="num" w:pos="4340" w:leader="none"/>
        </w:tabs>
      </w:pPr>
    </w:lvl>
  </w:abstractNum>
  <w:abstractNum w:abstractNumId="8">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9">
    <w:multiLevelType w:val="hybridMultilevel"/>
    <w:lvl w:ilvl="0">
      <w:start w:val="8"/>
      <w:numFmt w:val="japaneseCounting"/>
      <w:isLgl w:val="false"/>
      <w:suff w:val="tab"/>
      <w:lvlText w:val="（%1）"/>
      <w:lvlJc w:val="left"/>
      <w:pPr>
        <w:pStyle w:val="905"/>
        <w:ind w:left="1239" w:hanging="720"/>
      </w:pPr>
      <w:rPr>
        <w:rFonts w:hAnsi="宋体"/>
      </w:rPr>
    </w:lvl>
    <w:lvl w:ilvl="1">
      <w:start w:val="1"/>
      <w:numFmt w:val="lowerLetter"/>
      <w:isLgl w:val="false"/>
      <w:suff w:val="tab"/>
      <w:lvlText w:val="%2)"/>
      <w:lvlJc w:val="left"/>
      <w:pPr>
        <w:pStyle w:val="905"/>
        <w:ind w:left="1359" w:hanging="420"/>
      </w:pPr>
    </w:lvl>
    <w:lvl w:ilvl="2">
      <w:start w:val="1"/>
      <w:numFmt w:val="lowerRoman"/>
      <w:isLgl w:val="false"/>
      <w:suff w:val="tab"/>
      <w:lvlText w:val="%3."/>
      <w:lvlJc w:val="right"/>
      <w:pPr>
        <w:pStyle w:val="905"/>
        <w:ind w:left="1779" w:hanging="420"/>
      </w:pPr>
    </w:lvl>
    <w:lvl w:ilvl="3">
      <w:start w:val="1"/>
      <w:numFmt w:val="decimal"/>
      <w:isLgl w:val="false"/>
      <w:suff w:val="tab"/>
      <w:lvlText w:val="%4."/>
      <w:lvlJc w:val="left"/>
      <w:pPr>
        <w:pStyle w:val="905"/>
        <w:ind w:left="2199" w:hanging="420"/>
      </w:pPr>
    </w:lvl>
    <w:lvl w:ilvl="4">
      <w:start w:val="1"/>
      <w:numFmt w:val="lowerLetter"/>
      <w:isLgl w:val="false"/>
      <w:suff w:val="tab"/>
      <w:lvlText w:val="%5)"/>
      <w:lvlJc w:val="left"/>
      <w:pPr>
        <w:pStyle w:val="905"/>
        <w:ind w:left="2619" w:hanging="420"/>
      </w:pPr>
    </w:lvl>
    <w:lvl w:ilvl="5">
      <w:start w:val="1"/>
      <w:numFmt w:val="lowerRoman"/>
      <w:isLgl w:val="false"/>
      <w:suff w:val="tab"/>
      <w:lvlText w:val="%6."/>
      <w:lvlJc w:val="right"/>
      <w:pPr>
        <w:pStyle w:val="905"/>
        <w:ind w:left="3039" w:hanging="420"/>
      </w:pPr>
    </w:lvl>
    <w:lvl w:ilvl="6">
      <w:start w:val="1"/>
      <w:numFmt w:val="decimal"/>
      <w:isLgl w:val="false"/>
      <w:suff w:val="tab"/>
      <w:lvlText w:val="%7."/>
      <w:lvlJc w:val="left"/>
      <w:pPr>
        <w:pStyle w:val="905"/>
        <w:ind w:left="3459" w:hanging="420"/>
      </w:pPr>
    </w:lvl>
    <w:lvl w:ilvl="7">
      <w:start w:val="1"/>
      <w:numFmt w:val="lowerLetter"/>
      <w:isLgl w:val="false"/>
      <w:suff w:val="tab"/>
      <w:lvlText w:val="%8)"/>
      <w:lvlJc w:val="left"/>
      <w:pPr>
        <w:pStyle w:val="905"/>
        <w:ind w:left="3879" w:hanging="420"/>
      </w:pPr>
    </w:lvl>
    <w:lvl w:ilvl="8">
      <w:start w:val="1"/>
      <w:numFmt w:val="lowerRoman"/>
      <w:isLgl w:val="false"/>
      <w:suff w:val="tab"/>
      <w:lvlText w:val="%9."/>
      <w:lvlJc w:val="right"/>
      <w:pPr>
        <w:pStyle w:val="905"/>
        <w:ind w:left="4299" w:hanging="420"/>
      </w:pPr>
    </w:lvl>
  </w:abstractNum>
  <w:abstractNum w:abstractNumId="10">
    <w:multiLevelType w:val="hybridMultilevel"/>
    <w:lvl w:ilvl="0">
      <w:start w:val="1"/>
      <w:numFmt w:val="decimal"/>
      <w:pStyle w:val="1002"/>
      <w:isLgl w:val="false"/>
      <w:suff w:val="tab"/>
      <w:lvlText w:val="%1."/>
      <w:lvlJc w:val="left"/>
      <w:pPr>
        <w:pStyle w:val="905"/>
        <w:ind w:left="709" w:hanging="709"/>
        <w:tabs>
          <w:tab w:val="num" w:pos="709" w:leader="none"/>
        </w:tabs>
      </w:pPr>
      <w:rPr>
        <w:rFonts w:hint="eastAsia"/>
      </w:rPr>
    </w:lvl>
    <w:lvl w:ilvl="1">
      <w:start w:val="1"/>
      <w:numFmt w:val="decimal"/>
      <w:isLgl w:val="false"/>
      <w:suff w:val="tab"/>
      <w:lvlText w:val="%1.%2"/>
      <w:lvlJc w:val="left"/>
      <w:pPr>
        <w:pStyle w:val="905"/>
        <w:ind w:left="709" w:hanging="709"/>
        <w:tabs>
          <w:tab w:val="num" w:pos="709" w:leader="none"/>
        </w:tabs>
      </w:pPr>
      <w:rPr>
        <w:rFonts w:hint="eastAsia"/>
      </w:rPr>
    </w:lvl>
    <w:lvl w:ilvl="2">
      <w:start w:val="1"/>
      <w:numFmt w:val="decimal"/>
      <w:isLgl w:val="false"/>
      <w:suff w:val="tab"/>
      <w:lvlText w:val="%1.%2.%3."/>
      <w:lvlJc w:val="left"/>
      <w:pPr>
        <w:pStyle w:val="905"/>
        <w:ind w:left="425" w:hanging="425"/>
        <w:tabs>
          <w:tab w:val="num" w:pos="425" w:leader="none"/>
        </w:tabs>
      </w:pPr>
      <w:rPr>
        <w:rFonts w:hint="eastAsia"/>
      </w:rPr>
    </w:lvl>
    <w:lvl w:ilvl="3">
      <w:start w:val="1"/>
      <w:numFmt w:val="decimal"/>
      <w:isLgl w:val="false"/>
      <w:suff w:val="tab"/>
      <w:lvlText w:val="%1.%2.%3.%4."/>
      <w:lvlJc w:val="left"/>
      <w:pPr>
        <w:pStyle w:val="905"/>
        <w:ind w:left="851" w:hanging="851"/>
        <w:tabs>
          <w:tab w:val="num" w:pos="851" w:leader="none"/>
        </w:tabs>
      </w:pPr>
      <w:rPr>
        <w:rFonts w:hint="eastAsia"/>
      </w:rPr>
    </w:lvl>
    <w:lvl w:ilvl="4">
      <w:start w:val="1"/>
      <w:numFmt w:val="decimal"/>
      <w:isLgl w:val="false"/>
      <w:suff w:val="tab"/>
      <w:lvlText w:val="%1.%2.%3.%4.%5."/>
      <w:lvlJc w:val="left"/>
      <w:pPr>
        <w:pStyle w:val="905"/>
        <w:ind w:left="992" w:hanging="992"/>
        <w:tabs>
          <w:tab w:val="num" w:pos="992" w:leader="none"/>
        </w:tabs>
      </w:pPr>
      <w:rPr>
        <w:rFonts w:hint="eastAsia"/>
      </w:rPr>
    </w:lvl>
    <w:lvl w:ilvl="5">
      <w:start w:val="1"/>
      <w:numFmt w:val="decimal"/>
      <w:isLgl w:val="false"/>
      <w:suff w:val="tab"/>
      <w:lvlText w:val="%1.%2.%3.%4.%5.%6."/>
      <w:lvlJc w:val="left"/>
      <w:pPr>
        <w:pStyle w:val="905"/>
        <w:ind w:left="1134" w:hanging="1134"/>
        <w:tabs>
          <w:tab w:val="num" w:pos="1134" w:leader="none"/>
        </w:tabs>
      </w:pPr>
      <w:rPr>
        <w:rFonts w:hint="eastAsia"/>
      </w:rPr>
    </w:lvl>
    <w:lvl w:ilvl="6">
      <w:start w:val="1"/>
      <w:numFmt w:val="decimal"/>
      <w:isLgl w:val="false"/>
      <w:suff w:val="tab"/>
      <w:lvlText w:val="%1.%2.%3.%4.%5.%6.%7."/>
      <w:lvlJc w:val="left"/>
      <w:pPr>
        <w:pStyle w:val="905"/>
        <w:ind w:left="1276" w:hanging="1276"/>
        <w:tabs>
          <w:tab w:val="num" w:pos="1276" w:leader="none"/>
        </w:tabs>
      </w:pPr>
      <w:rPr>
        <w:rFonts w:hint="eastAsia"/>
      </w:rPr>
    </w:lvl>
    <w:lvl w:ilvl="7">
      <w:start w:val="1"/>
      <w:numFmt w:val="decimal"/>
      <w:isLgl w:val="false"/>
      <w:suff w:val="tab"/>
      <w:lvlText w:val="%1.%2.%3.%4.%5.%6.%7.%8."/>
      <w:lvlJc w:val="left"/>
      <w:pPr>
        <w:pStyle w:val="905"/>
        <w:ind w:left="1418" w:hanging="1418"/>
        <w:tabs>
          <w:tab w:val="num" w:pos="1418" w:leader="none"/>
        </w:tabs>
      </w:pPr>
      <w:rPr>
        <w:rFonts w:hint="eastAsia"/>
      </w:rPr>
    </w:lvl>
    <w:lvl w:ilvl="8">
      <w:start w:val="1"/>
      <w:numFmt w:val="decimal"/>
      <w:isLgl w:val="false"/>
      <w:suff w:val="tab"/>
      <w:lvlText w:val="%1.%2.%3.%4.%5.%6.%7.%8.%9."/>
      <w:lvlJc w:val="left"/>
      <w:pPr>
        <w:pStyle w:val="905"/>
        <w:ind w:left="1559" w:hanging="1559"/>
        <w:tabs>
          <w:tab w:val="num" w:pos="1559" w:leader="none"/>
        </w:tabs>
      </w:pPr>
      <w:rPr>
        <w:rFonts w:hint="eastAsia"/>
      </w:rPr>
    </w:lvl>
  </w:abstractNum>
  <w:abstractNum w:abstractNumId="11">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12">
    <w:multiLevelType w:val="hybridMultilevel"/>
    <w:lvl w:ilvl="0">
      <w:start w:val="1"/>
      <w:numFmt w:val="japaneseCounting"/>
      <w:isLgl w:val="false"/>
      <w:suff w:val="tab"/>
      <w:lvlText w:val="（%1）"/>
      <w:lvlJc w:val="left"/>
      <w:pPr>
        <w:pStyle w:val="905"/>
        <w:ind w:left="1080" w:hanging="1080"/>
        <w:tabs>
          <w:tab w:val="num" w:pos="1080" w:leader="none"/>
        </w:tabs>
      </w:pPr>
      <w:rPr>
        <w:rFonts w:hint="eastAsia" w:cs="Times New Roman"/>
      </w:rPr>
    </w:lvl>
    <w:lvl w:ilvl="1">
      <w:start w:val="1"/>
      <w:numFmt w:val="decimal"/>
      <w:isLgl w:val="false"/>
      <w:suff w:val="tab"/>
      <w:lvlText w:val="%2."/>
      <w:lvlJc w:val="left"/>
      <w:pPr>
        <w:pStyle w:val="905"/>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05"/>
        <w:ind w:left="1260" w:hanging="420"/>
        <w:tabs>
          <w:tab w:val="num" w:pos="126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13">
    <w:multiLevelType w:val="hybridMultilevel"/>
    <w:lvl w:ilvl="0">
      <w:start w:val="1"/>
      <w:numFmt w:val="chineseCountingThousand"/>
      <w:isLgl w:val="false"/>
      <w:suff w:val="nothing"/>
      <w:lvlText w:val="第%1章 "/>
      <w:lvlJc w:val="left"/>
      <w:pPr>
        <w:pStyle w:val="905"/>
        <w:ind w:left="0" w:firstLine="0"/>
      </w:pPr>
      <w:rPr>
        <w:rFonts w:hint="eastAsia"/>
      </w:rPr>
    </w:lvl>
    <w:lvl w:ilvl="1">
      <w:start w:val="1"/>
      <w:numFmt w:val="decimal"/>
      <w:isLgl w:val="false"/>
      <w:suff w:val="nothing"/>
      <w:lvlText w:val="%2、"/>
      <w:lvlJc w:val="left"/>
      <w:pPr>
        <w:pStyle w:val="905"/>
        <w:ind w:left="0" w:firstLine="0"/>
      </w:pPr>
      <w:rPr>
        <w:rFonts w:hint="eastAsia"/>
      </w:rPr>
    </w:lvl>
    <w:lvl w:ilvl="2">
      <w:start w:val="1"/>
      <w:numFmt w:val="decimal"/>
      <w:isLgl w:val="false"/>
      <w:suff w:val="nothing"/>
      <w:lvlText w:val="%2.%3 "/>
      <w:lvlJc w:val="left"/>
      <w:pPr>
        <w:pStyle w:val="905"/>
        <w:ind w:left="0" w:firstLine="0"/>
      </w:pPr>
      <w:rPr>
        <w:rFonts w:hint="eastAsia"/>
      </w:rPr>
    </w:lvl>
    <w:lvl w:ilvl="3">
      <w:start w:val="1"/>
      <w:numFmt w:val="decimal"/>
      <w:isLgl w:val="false"/>
      <w:suff w:val="nothing"/>
      <w:lvlText w:val="%2.%3.%4 "/>
      <w:lvlJc w:val="left"/>
      <w:pPr>
        <w:pStyle w:val="905"/>
        <w:ind w:left="0" w:firstLine="0"/>
      </w:pPr>
      <w:rPr>
        <w:rFonts w:hint="eastAsia"/>
      </w:rPr>
    </w:lvl>
    <w:lvl w:ilvl="4">
      <w:start w:val="1"/>
      <w:numFmt w:val="decimal"/>
      <w:isLgl w:val="false"/>
      <w:suff w:val="nothing"/>
      <w:lvlText w:val="%2.%3.%4.%5 "/>
      <w:lvlJc w:val="left"/>
      <w:pPr>
        <w:pStyle w:val="905"/>
        <w:ind w:left="0" w:firstLine="0"/>
      </w:pPr>
      <w:rPr>
        <w:rFonts w:hint="eastAsia"/>
      </w:rPr>
    </w:lvl>
    <w:lvl w:ilvl="5">
      <w:start w:val="1"/>
      <w:numFmt w:val="decimal"/>
      <w:pStyle w:val="911"/>
      <w:isLgl w:val="false"/>
      <w:suff w:val="nothing"/>
      <w:lvlText w:val=""/>
      <w:lvlJc w:val="left"/>
      <w:pPr>
        <w:pStyle w:val="905"/>
        <w:ind w:left="0" w:firstLine="0"/>
      </w:pPr>
      <w:rPr>
        <w:rFonts w:hint="eastAsia"/>
      </w:rPr>
    </w:lvl>
    <w:lvl w:ilvl="6">
      <w:start w:val="1"/>
      <w:numFmt w:val="decimal"/>
      <w:pStyle w:val="912"/>
      <w:isLgl w:val="false"/>
      <w:suff w:val="nothing"/>
      <w:lvlText w:val=""/>
      <w:lvlJc w:val="left"/>
      <w:pPr>
        <w:pStyle w:val="905"/>
        <w:ind w:left="0" w:firstLine="0"/>
      </w:pPr>
      <w:rPr>
        <w:rFonts w:hint="eastAsia"/>
      </w:rPr>
    </w:lvl>
    <w:lvl w:ilvl="7">
      <w:start w:val="1"/>
      <w:numFmt w:val="decimal"/>
      <w:pStyle w:val="913"/>
      <w:isLgl w:val="false"/>
      <w:suff w:val="nothing"/>
      <w:lvlText w:val=""/>
      <w:lvlJc w:val="left"/>
      <w:pPr>
        <w:pStyle w:val="905"/>
        <w:ind w:left="0" w:firstLine="0"/>
      </w:pPr>
      <w:rPr>
        <w:rFonts w:hint="eastAsia"/>
      </w:rPr>
    </w:lvl>
    <w:lvl w:ilvl="8">
      <w:start w:val="1"/>
      <w:numFmt w:val="decimal"/>
      <w:pStyle w:val="914"/>
      <w:isLgl w:val="false"/>
      <w:suff w:val="nothing"/>
      <w:lvlText w:val=""/>
      <w:lvlJc w:val="left"/>
      <w:pPr>
        <w:pStyle w:val="905"/>
        <w:ind w:left="0" w:firstLine="0"/>
      </w:pPr>
      <w:rPr>
        <w:rFonts w:hint="eastAsia"/>
      </w:rPr>
    </w:lvl>
  </w:abstractNum>
  <w:abstractNum w:abstractNumId="14">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15">
    <w:multiLevelType w:val="hybridMultilevel"/>
    <w:lvl w:ilvl="0">
      <w:start w:val="1"/>
      <w:numFmt w:val="japaneseCounting"/>
      <w:isLgl w:val="false"/>
      <w:suff w:val="tab"/>
      <w:lvlText w:val="%1、"/>
      <w:lvlJc w:val="left"/>
      <w:pPr>
        <w:pStyle w:val="90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05"/>
        <w:ind w:left="840" w:hanging="420"/>
        <w:tabs>
          <w:tab w:val="num" w:pos="840" w:leader="none"/>
        </w:tabs>
      </w:pPr>
      <w:rPr>
        <w:rFonts w:cs="Times New Roman"/>
      </w:rPr>
    </w:lvl>
    <w:lvl w:ilvl="2">
      <w:start w:val="10"/>
      <w:numFmt w:val="decimal"/>
      <w:isLgl w:val="false"/>
      <w:suff w:val="tab"/>
      <w:lvlText w:val="%3."/>
      <w:lvlJc w:val="left"/>
      <w:pPr>
        <w:pStyle w:val="905"/>
        <w:ind w:left="1200" w:hanging="360"/>
        <w:tabs>
          <w:tab w:val="num" w:pos="1200" w:leader="none"/>
        </w:tabs>
      </w:pPr>
      <w:rPr>
        <w:rFonts w:cs="Times New Roman"/>
      </w:rPr>
    </w:lvl>
    <w:lvl w:ilvl="3">
      <w:start w:val="1"/>
      <w:numFmt w:val="decimal"/>
      <w:isLgl w:val="false"/>
      <w:suff w:val="tab"/>
      <w:lvlText w:val="%4."/>
      <w:lvlJc w:val="left"/>
      <w:pPr>
        <w:pStyle w:val="905"/>
        <w:ind w:left="1680" w:hanging="420"/>
        <w:tabs>
          <w:tab w:val="num" w:pos="1680" w:leader="none"/>
        </w:tabs>
      </w:pPr>
      <w:rPr>
        <w:rFonts w:cs="Times New Roman"/>
      </w:rPr>
    </w:lvl>
    <w:lvl w:ilvl="4">
      <w:start w:val="1"/>
      <w:numFmt w:val="lowerLetter"/>
      <w:isLgl w:val="false"/>
      <w:suff w:val="tab"/>
      <w:lvlText w:val="%5)"/>
      <w:lvlJc w:val="left"/>
      <w:pPr>
        <w:pStyle w:val="905"/>
        <w:ind w:left="2100" w:hanging="420"/>
        <w:tabs>
          <w:tab w:val="num" w:pos="2100" w:leader="none"/>
        </w:tabs>
      </w:pPr>
      <w:rPr>
        <w:rFonts w:cs="Times New Roman"/>
      </w:rPr>
    </w:lvl>
    <w:lvl w:ilvl="5">
      <w:start w:val="1"/>
      <w:numFmt w:val="lowerRoman"/>
      <w:isLgl w:val="false"/>
      <w:suff w:val="tab"/>
      <w:lvlText w:val="%6."/>
      <w:lvlJc w:val="right"/>
      <w:pPr>
        <w:pStyle w:val="905"/>
        <w:ind w:left="2520" w:hanging="420"/>
        <w:tabs>
          <w:tab w:val="num" w:pos="2520" w:leader="none"/>
        </w:tabs>
      </w:pPr>
      <w:rPr>
        <w:rFonts w:cs="Times New Roman"/>
      </w:rPr>
    </w:lvl>
    <w:lvl w:ilvl="6">
      <w:start w:val="1"/>
      <w:numFmt w:val="decimal"/>
      <w:isLgl w:val="false"/>
      <w:suff w:val="tab"/>
      <w:lvlText w:val="%7."/>
      <w:lvlJc w:val="left"/>
      <w:pPr>
        <w:pStyle w:val="905"/>
        <w:ind w:left="2940" w:hanging="420"/>
        <w:tabs>
          <w:tab w:val="num" w:pos="2940" w:leader="none"/>
        </w:tabs>
      </w:pPr>
      <w:rPr>
        <w:rFonts w:cs="Times New Roman"/>
      </w:rPr>
    </w:lvl>
    <w:lvl w:ilvl="7">
      <w:start w:val="1"/>
      <w:numFmt w:val="lowerLetter"/>
      <w:isLgl w:val="false"/>
      <w:suff w:val="tab"/>
      <w:lvlText w:val="%8)"/>
      <w:lvlJc w:val="left"/>
      <w:pPr>
        <w:pStyle w:val="905"/>
        <w:ind w:left="3360" w:hanging="420"/>
        <w:tabs>
          <w:tab w:val="num" w:pos="3360" w:leader="none"/>
        </w:tabs>
      </w:pPr>
      <w:rPr>
        <w:rFonts w:cs="Times New Roman"/>
      </w:rPr>
    </w:lvl>
    <w:lvl w:ilvl="8">
      <w:start w:val="1"/>
      <w:numFmt w:val="lowerRoman"/>
      <w:isLgl w:val="false"/>
      <w:suff w:val="tab"/>
      <w:lvlText w:val="%9."/>
      <w:lvlJc w:val="right"/>
      <w:pPr>
        <w:pStyle w:val="905"/>
        <w:ind w:left="3780" w:hanging="420"/>
        <w:tabs>
          <w:tab w:val="num" w:pos="3780" w:leader="none"/>
        </w:tabs>
      </w:pPr>
      <w:rPr>
        <w:rFonts w:cs="Times New Roman"/>
      </w:rPr>
    </w:lvl>
  </w:abstractNum>
  <w:abstractNum w:abstractNumId="16">
    <w:multiLevelType w:val="hybridMultilevel"/>
    <w:lvl w:ilvl="0">
      <w:start w:val="1"/>
      <w:numFmt w:val="decimal"/>
      <w:isLgl w:val="false"/>
      <w:suff w:val="tab"/>
      <w:lvlText w:val="（%1）"/>
      <w:lvlJc w:val="left"/>
      <w:pPr>
        <w:pStyle w:val="905"/>
        <w:ind w:left="720" w:hanging="720"/>
        <w:tabs>
          <w:tab w:val="num" w:pos="720" w:leader="none"/>
        </w:tabs>
      </w:pPr>
      <w:rPr>
        <w:rFonts w:hint="eastAsia" w:cs="Times New Roman"/>
      </w:rPr>
    </w:lvl>
    <w:lvl w:ilvl="1">
      <w:start w:val="2"/>
      <w:numFmt w:val="decimal"/>
      <w:isLgl w:val="false"/>
      <w:suff w:val="tab"/>
      <w:lvlText w:val="%2."/>
      <w:lvlJc w:val="left"/>
      <w:pPr>
        <w:pStyle w:val="905"/>
        <w:ind w:left="1770" w:hanging="360"/>
        <w:tabs>
          <w:tab w:val="num" w:pos="1770" w:leader="none"/>
        </w:tabs>
      </w:pPr>
      <w:rPr>
        <w:rFonts w:cs="Times New Roman"/>
      </w:rPr>
    </w:lvl>
    <w:lvl w:ilvl="2">
      <w:start w:val="1"/>
      <w:numFmt w:val="lowerRoman"/>
      <w:isLgl w:val="false"/>
      <w:suff w:val="tab"/>
      <w:lvlText w:val="%3."/>
      <w:lvlJc w:val="right"/>
      <w:pPr>
        <w:pStyle w:val="905"/>
        <w:ind w:left="2250" w:hanging="420"/>
        <w:tabs>
          <w:tab w:val="num" w:pos="2250" w:leader="none"/>
        </w:tabs>
      </w:pPr>
      <w:rPr>
        <w:rFonts w:cs="Times New Roman"/>
      </w:rPr>
    </w:lvl>
    <w:lvl w:ilvl="3">
      <w:start w:val="1"/>
      <w:numFmt w:val="decimal"/>
      <w:isLgl w:val="false"/>
      <w:suff w:val="tab"/>
      <w:lvlText w:val="%4."/>
      <w:lvlJc w:val="left"/>
      <w:pPr>
        <w:pStyle w:val="905"/>
        <w:ind w:left="2670" w:hanging="420"/>
        <w:tabs>
          <w:tab w:val="num" w:pos="2670" w:leader="none"/>
        </w:tabs>
      </w:pPr>
      <w:rPr>
        <w:rFonts w:cs="Times New Roman"/>
      </w:rPr>
    </w:lvl>
    <w:lvl w:ilvl="4">
      <w:start w:val="1"/>
      <w:numFmt w:val="lowerLetter"/>
      <w:isLgl w:val="false"/>
      <w:suff w:val="tab"/>
      <w:lvlText w:val="%5)"/>
      <w:lvlJc w:val="left"/>
      <w:pPr>
        <w:pStyle w:val="905"/>
        <w:ind w:left="3090" w:hanging="420"/>
        <w:tabs>
          <w:tab w:val="num" w:pos="3090" w:leader="none"/>
        </w:tabs>
      </w:pPr>
      <w:rPr>
        <w:rFonts w:cs="Times New Roman"/>
      </w:rPr>
    </w:lvl>
    <w:lvl w:ilvl="5">
      <w:start w:val="1"/>
      <w:numFmt w:val="lowerRoman"/>
      <w:isLgl w:val="false"/>
      <w:suff w:val="tab"/>
      <w:lvlText w:val="%6."/>
      <w:lvlJc w:val="right"/>
      <w:pPr>
        <w:pStyle w:val="905"/>
        <w:ind w:left="3510" w:hanging="420"/>
        <w:tabs>
          <w:tab w:val="num" w:pos="3510" w:leader="none"/>
        </w:tabs>
      </w:pPr>
      <w:rPr>
        <w:rFonts w:cs="Times New Roman"/>
      </w:rPr>
    </w:lvl>
    <w:lvl w:ilvl="6">
      <w:start w:val="1"/>
      <w:numFmt w:val="decimal"/>
      <w:isLgl w:val="false"/>
      <w:suff w:val="tab"/>
      <w:lvlText w:val="%7."/>
      <w:lvlJc w:val="left"/>
      <w:pPr>
        <w:pStyle w:val="905"/>
        <w:ind w:left="3930" w:hanging="420"/>
        <w:tabs>
          <w:tab w:val="num" w:pos="3930" w:leader="none"/>
        </w:tabs>
      </w:pPr>
      <w:rPr>
        <w:rFonts w:cs="Times New Roman"/>
      </w:rPr>
    </w:lvl>
    <w:lvl w:ilvl="7">
      <w:start w:val="1"/>
      <w:numFmt w:val="lowerLetter"/>
      <w:isLgl w:val="false"/>
      <w:suff w:val="tab"/>
      <w:lvlText w:val="%8)"/>
      <w:lvlJc w:val="left"/>
      <w:pPr>
        <w:pStyle w:val="905"/>
        <w:ind w:left="4350" w:hanging="420"/>
        <w:tabs>
          <w:tab w:val="num" w:pos="4350" w:leader="none"/>
        </w:tabs>
      </w:pPr>
      <w:rPr>
        <w:rFonts w:cs="Times New Roman"/>
      </w:rPr>
    </w:lvl>
    <w:lvl w:ilvl="8">
      <w:start w:val="1"/>
      <w:numFmt w:val="lowerRoman"/>
      <w:isLgl w:val="false"/>
      <w:suff w:val="tab"/>
      <w:lvlText w:val="%9."/>
      <w:lvlJc w:val="right"/>
      <w:pPr>
        <w:pStyle w:val="905"/>
        <w:ind w:left="4770" w:hanging="420"/>
        <w:tabs>
          <w:tab w:val="num" w:pos="4770" w:leader="none"/>
        </w:tabs>
      </w:pPr>
      <w:rPr>
        <w:rFonts w:cs="Times New Roman"/>
      </w:rPr>
    </w:lvl>
  </w:abstractNum>
  <w:abstractNum w:abstractNumId="17">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abstractNum w:abstractNumId="18">
    <w:multiLevelType w:val="hybridMultilevel"/>
    <w:lvl w:ilvl="0">
      <w:start w:val="1"/>
      <w:numFmt w:val="decimal"/>
      <w:isLgl w:val="false"/>
      <w:suff w:val="nothing"/>
      <w:lvlText w:val="（%1）"/>
      <w:lvlJc w:val="left"/>
      <w:pPr>
        <w:pStyle w:val="9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japaneseCounting"/>
      <w:isLgl w:val="false"/>
      <w:suff w:val="tab"/>
      <w:lvlText w:val="第%1章"/>
      <w:lvlJc w:val="left"/>
      <w:pPr>
        <w:pStyle w:val="905"/>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isLgl w:val="false"/>
      <w:suff w:val="tab"/>
      <w:lvlText w:val=""/>
      <w:lvlJc w:val="left"/>
      <w:pPr>
        <w:pStyle w:val="905"/>
        <w:ind w:left="900" w:hanging="420"/>
      </w:pPr>
      <w:rPr>
        <w:rFonts w:ascii="Wingdings" w:hAnsi="Wingdings"/>
      </w:rPr>
    </w:lvl>
    <w:lvl w:ilvl="1">
      <w:start w:val="1"/>
      <w:numFmt w:val="bullet"/>
      <w:isLgl w:val="false"/>
      <w:suff w:val="tab"/>
      <w:lvlText w:val=""/>
      <w:lvlJc w:val="left"/>
      <w:pPr>
        <w:pStyle w:val="905"/>
        <w:ind w:left="1320" w:hanging="420"/>
      </w:pPr>
      <w:rPr>
        <w:rFonts w:ascii="Wingdings" w:hAnsi="Wingdings"/>
      </w:rPr>
    </w:lvl>
    <w:lvl w:ilvl="2">
      <w:start w:val="1"/>
      <w:numFmt w:val="bullet"/>
      <w:isLgl w:val="false"/>
      <w:suff w:val="tab"/>
      <w:lvlText w:val=""/>
      <w:lvlJc w:val="left"/>
      <w:pPr>
        <w:pStyle w:val="905"/>
        <w:ind w:left="1740" w:hanging="420"/>
      </w:pPr>
      <w:rPr>
        <w:rFonts w:ascii="Wingdings" w:hAnsi="Wingdings"/>
      </w:rPr>
    </w:lvl>
    <w:lvl w:ilvl="3">
      <w:start w:val="1"/>
      <w:numFmt w:val="bullet"/>
      <w:isLgl w:val="false"/>
      <w:suff w:val="tab"/>
      <w:lvlText w:val=""/>
      <w:lvlJc w:val="left"/>
      <w:pPr>
        <w:pStyle w:val="905"/>
        <w:ind w:left="2160" w:hanging="420"/>
      </w:pPr>
      <w:rPr>
        <w:rFonts w:ascii="Wingdings" w:hAnsi="Wingdings"/>
      </w:rPr>
    </w:lvl>
    <w:lvl w:ilvl="4">
      <w:start w:val="1"/>
      <w:numFmt w:val="bullet"/>
      <w:isLgl w:val="false"/>
      <w:suff w:val="tab"/>
      <w:lvlText w:val=""/>
      <w:lvlJc w:val="left"/>
      <w:pPr>
        <w:pStyle w:val="905"/>
        <w:ind w:left="2580" w:hanging="420"/>
      </w:pPr>
      <w:rPr>
        <w:rFonts w:ascii="Wingdings" w:hAnsi="Wingdings"/>
      </w:rPr>
    </w:lvl>
    <w:lvl w:ilvl="5">
      <w:start w:val="1"/>
      <w:numFmt w:val="bullet"/>
      <w:isLgl w:val="false"/>
      <w:suff w:val="tab"/>
      <w:lvlText w:val=""/>
      <w:lvlJc w:val="left"/>
      <w:pPr>
        <w:pStyle w:val="905"/>
        <w:ind w:left="3000" w:hanging="420"/>
      </w:pPr>
      <w:rPr>
        <w:rFonts w:ascii="Wingdings" w:hAnsi="Wingdings"/>
      </w:rPr>
    </w:lvl>
    <w:lvl w:ilvl="6">
      <w:start w:val="1"/>
      <w:numFmt w:val="bullet"/>
      <w:isLgl w:val="false"/>
      <w:suff w:val="tab"/>
      <w:lvlText w:val=""/>
      <w:lvlJc w:val="left"/>
      <w:pPr>
        <w:pStyle w:val="905"/>
        <w:ind w:left="3420" w:hanging="420"/>
      </w:pPr>
      <w:rPr>
        <w:rFonts w:ascii="Wingdings" w:hAnsi="Wingdings"/>
      </w:rPr>
    </w:lvl>
    <w:lvl w:ilvl="7">
      <w:start w:val="1"/>
      <w:numFmt w:val="bullet"/>
      <w:isLgl w:val="false"/>
      <w:suff w:val="tab"/>
      <w:lvlText w:val=""/>
      <w:lvlJc w:val="left"/>
      <w:pPr>
        <w:pStyle w:val="905"/>
        <w:ind w:left="3840" w:hanging="420"/>
      </w:pPr>
      <w:rPr>
        <w:rFonts w:ascii="Wingdings" w:hAnsi="Wingdings"/>
      </w:rPr>
    </w:lvl>
    <w:lvl w:ilvl="8">
      <w:start w:val="1"/>
      <w:numFmt w:val="bullet"/>
      <w:isLgl w:val="false"/>
      <w:suff w:val="tab"/>
      <w:lvlText w:val=""/>
      <w:lvlJc w:val="left"/>
      <w:pPr>
        <w:pStyle w:val="905"/>
        <w:ind w:left="4260" w:hanging="420"/>
      </w:pPr>
      <w:rPr>
        <w:rFonts w:ascii="Wingdings" w:hAnsi="Wingdings"/>
      </w:rPr>
    </w:lvl>
  </w:abstractNum>
  <w:abstractNum w:abstractNumId="21">
    <w:multiLevelType w:val="hybridMultilevel"/>
    <w:lvl w:ilvl="0">
      <w:start w:val="1"/>
      <w:numFmt w:val="decimal"/>
      <w:isLgl w:val="false"/>
      <w:suff w:val="tab"/>
      <w:lvlText w:val="%1."/>
      <w:lvlJc w:val="left"/>
      <w:pPr>
        <w:pStyle w:val="905"/>
        <w:ind w:left="510" w:hanging="360"/>
        <w:tabs>
          <w:tab w:val="num" w:pos="510" w:leader="none"/>
        </w:tabs>
      </w:pPr>
      <w:rPr>
        <w:rFonts w:hint="eastAsia" w:cs="Times New Roman"/>
      </w:rPr>
    </w:lvl>
    <w:lvl w:ilvl="1">
      <w:start w:val="1"/>
      <w:numFmt w:val="decimal"/>
      <w:isLgl w:val="false"/>
      <w:suff w:val="tab"/>
      <w:lvlText w:val="%2．"/>
      <w:lvlJc w:val="left"/>
      <w:pPr>
        <w:pStyle w:val="905"/>
        <w:ind w:left="1290" w:hanging="720"/>
        <w:tabs>
          <w:tab w:val="num" w:pos="1290" w:leader="none"/>
        </w:tabs>
      </w:pPr>
      <w:rPr>
        <w:rFonts w:hint="eastAsia" w:cs="Times New Roman"/>
      </w:rPr>
    </w:lvl>
    <w:lvl w:ilvl="2">
      <w:start w:val="3"/>
      <w:numFmt w:val="decimal"/>
      <w:isLgl w:val="false"/>
      <w:suff w:val="tab"/>
      <w:lvlText w:val="（%3）"/>
      <w:lvlJc w:val="left"/>
      <w:pPr>
        <w:pStyle w:val="905"/>
        <w:ind w:left="1140" w:hanging="720"/>
        <w:tabs>
          <w:tab w:val="num" w:pos="1140" w:leader="none"/>
        </w:tabs>
      </w:pPr>
      <w:rPr>
        <w:rFonts w:hint="eastAsia" w:cs="Times New Roman"/>
      </w:rPr>
    </w:lvl>
    <w:lvl w:ilvl="3">
      <w:start w:val="1"/>
      <w:numFmt w:val="decimal"/>
      <w:isLgl w:val="false"/>
      <w:suff w:val="tab"/>
      <w:lvlText w:val="（%4）"/>
      <w:lvlJc w:val="left"/>
      <w:pPr>
        <w:pStyle w:val="905"/>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05"/>
        <w:ind w:left="2250" w:hanging="420"/>
        <w:tabs>
          <w:tab w:val="num" w:pos="2250" w:leader="none"/>
        </w:tabs>
      </w:pPr>
      <w:rPr>
        <w:rFonts w:hint="eastAsia"/>
        <w:b/>
        <w:lang w:val="en-US"/>
      </w:rPr>
    </w:lvl>
    <w:lvl w:ilvl="5">
      <w:start w:val="10"/>
      <w:numFmt w:val="japaneseCounting"/>
      <w:isLgl w:val="false"/>
      <w:suff w:val="tab"/>
      <w:lvlText w:val="（%6）"/>
      <w:lvlJc w:val="left"/>
      <w:pPr>
        <w:pStyle w:val="905"/>
        <w:ind w:left="2970" w:hanging="720"/>
      </w:pPr>
      <w:rPr>
        <w:rFonts w:cs="Times New Roman"/>
      </w:rPr>
    </w:lvl>
    <w:lvl w:ilvl="6">
      <w:start w:val="1"/>
      <w:numFmt w:val="decimal"/>
      <w:isLgl w:val="false"/>
      <w:suff w:val="tab"/>
      <w:lvlText w:val="（%7）"/>
      <w:lvlJc w:val="left"/>
      <w:pPr>
        <w:pStyle w:val="905"/>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05"/>
        <w:ind w:left="3510" w:hanging="420"/>
        <w:tabs>
          <w:tab w:val="num" w:pos="3510" w:leader="none"/>
        </w:tabs>
      </w:pPr>
      <w:rPr>
        <w:rFonts w:cs="Times New Roman"/>
      </w:rPr>
    </w:lvl>
    <w:lvl w:ilvl="8">
      <w:start w:val="1"/>
      <w:numFmt w:val="lowerRoman"/>
      <w:isLgl w:val="false"/>
      <w:suff w:val="tab"/>
      <w:lvlText w:val="%9."/>
      <w:lvlJc w:val="right"/>
      <w:pPr>
        <w:pStyle w:val="905"/>
        <w:ind w:left="3930" w:hanging="420"/>
        <w:tabs>
          <w:tab w:val="num" w:pos="3930" w:leader="none"/>
        </w:tabs>
      </w:pPr>
      <w:rPr>
        <w:rFonts w:cs="Times New Roman"/>
      </w:rPr>
    </w:lvl>
  </w:abstractNum>
  <w:num w:numId="1">
    <w:abstractNumId w:val="13"/>
  </w:num>
  <w:num w:numId="2">
    <w:abstractNumId w:val="3"/>
  </w:num>
  <w:num w:numId="3">
    <w:abstractNumId w:val="10"/>
  </w:num>
  <w:num w:numId="4">
    <w:abstractNumId w:val="19"/>
  </w:num>
  <w:num w:numId="5">
    <w:abstractNumId w:val="16"/>
  </w:num>
  <w:num w:numId="6">
    <w:abstractNumId w:val="9"/>
  </w:num>
  <w:num w:numId="7">
    <w:abstractNumId w:val="4"/>
  </w:num>
  <w:num w:numId="8">
    <w:abstractNumId w:val="1"/>
  </w:num>
  <w:num w:numId="9">
    <w:abstractNumId w:val="14"/>
  </w:num>
  <w:num w:numId="10">
    <w:abstractNumId w:val="2"/>
  </w:num>
  <w:num w:numId="11">
    <w:abstractNumId w:val="18"/>
  </w:num>
  <w:num w:numId="12">
    <w:abstractNumId w:val="0"/>
  </w:num>
  <w:num w:numId="13">
    <w:abstractNumId w:val="15"/>
  </w:num>
  <w:num w:numId="14">
    <w:abstractNumId w:val="7"/>
  </w:num>
  <w:num w:numId="15">
    <w:abstractNumId w:val="12"/>
  </w:num>
  <w:num w:numId="16">
    <w:abstractNumId w:val="5"/>
  </w:num>
  <w:num w:numId="17">
    <w:abstractNumId w:val="6"/>
  </w:num>
  <w:num w:numId="18">
    <w:abstractNumId w:val="8"/>
  </w:num>
  <w:num w:numId="19">
    <w:abstractNumId w:val="17"/>
  </w:num>
  <w:num w:numId="20">
    <w:abstractNumId w:val="11"/>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name w:val="Heading 1"/>
    <w:basedOn w:val="905"/>
    <w:next w:val="905"/>
    <w:link w:val="728"/>
    <w:uiPriority w:val="9"/>
    <w:qFormat/>
    <w:pPr>
      <w:keepLines/>
      <w:keepNext/>
      <w:spacing w:before="480" w:after="200"/>
      <w:outlineLvl w:val="0"/>
    </w:pPr>
    <w:rPr>
      <w:rFonts w:ascii="Arial" w:hAnsi="Arial" w:eastAsia="Arial" w:cs="Arial"/>
      <w:sz w:val="40"/>
      <w:szCs w:val="40"/>
    </w:rPr>
  </w:style>
  <w:style w:type="character" w:styleId="728">
    <w:name w:val="Heading 1 Char"/>
    <w:link w:val="727"/>
    <w:uiPriority w:val="9"/>
    <w:rPr>
      <w:rFonts w:ascii="Arial" w:hAnsi="Arial" w:eastAsia="Arial" w:cs="Arial"/>
      <w:sz w:val="40"/>
      <w:szCs w:val="40"/>
    </w:rPr>
  </w:style>
  <w:style w:type="paragraph" w:styleId="729">
    <w:name w:val="Heading 2"/>
    <w:basedOn w:val="905"/>
    <w:next w:val="905"/>
    <w:link w:val="730"/>
    <w:uiPriority w:val="9"/>
    <w:unhideWhenUsed/>
    <w:qFormat/>
    <w:pPr>
      <w:keepLines/>
      <w:keepNext/>
      <w:spacing w:before="360" w:after="200"/>
      <w:outlineLvl w:val="1"/>
    </w:pPr>
    <w:rPr>
      <w:rFonts w:ascii="Arial" w:hAnsi="Arial" w:eastAsia="Arial" w:cs="Arial"/>
      <w:sz w:val="34"/>
    </w:rPr>
  </w:style>
  <w:style w:type="character" w:styleId="730">
    <w:name w:val="Heading 2 Char"/>
    <w:link w:val="729"/>
    <w:uiPriority w:val="9"/>
    <w:rPr>
      <w:rFonts w:ascii="Arial" w:hAnsi="Arial" w:eastAsia="Arial" w:cs="Arial"/>
      <w:sz w:val="34"/>
    </w:rPr>
  </w:style>
  <w:style w:type="paragraph" w:styleId="731">
    <w:name w:val="Heading 3"/>
    <w:basedOn w:val="905"/>
    <w:next w:val="905"/>
    <w:link w:val="732"/>
    <w:uiPriority w:val="9"/>
    <w:unhideWhenUsed/>
    <w:qFormat/>
    <w:pPr>
      <w:keepLines/>
      <w:keepNext/>
      <w:spacing w:before="320" w:after="200"/>
      <w:outlineLvl w:val="2"/>
    </w:pPr>
    <w:rPr>
      <w:rFonts w:ascii="Arial" w:hAnsi="Arial" w:eastAsia="Arial" w:cs="Arial"/>
      <w:sz w:val="30"/>
      <w:szCs w:val="30"/>
    </w:rPr>
  </w:style>
  <w:style w:type="character" w:styleId="732">
    <w:name w:val="Heading 3 Char"/>
    <w:link w:val="731"/>
    <w:uiPriority w:val="9"/>
    <w:rPr>
      <w:rFonts w:ascii="Arial" w:hAnsi="Arial" w:eastAsia="Arial" w:cs="Arial"/>
      <w:sz w:val="30"/>
      <w:szCs w:val="30"/>
    </w:rPr>
  </w:style>
  <w:style w:type="paragraph" w:styleId="733">
    <w:name w:val="Heading 4"/>
    <w:basedOn w:val="905"/>
    <w:next w:val="905"/>
    <w:link w:val="734"/>
    <w:uiPriority w:val="9"/>
    <w:unhideWhenUsed/>
    <w:qFormat/>
    <w:pPr>
      <w:keepLines/>
      <w:keepNext/>
      <w:spacing w:before="320" w:after="200"/>
      <w:outlineLvl w:val="3"/>
    </w:pPr>
    <w:rPr>
      <w:rFonts w:ascii="Arial" w:hAnsi="Arial" w:eastAsia="Arial" w:cs="Arial"/>
      <w:b/>
      <w:bCs/>
      <w:sz w:val="26"/>
      <w:szCs w:val="26"/>
    </w:rPr>
  </w:style>
  <w:style w:type="character" w:styleId="734">
    <w:name w:val="Heading 4 Char"/>
    <w:link w:val="733"/>
    <w:uiPriority w:val="9"/>
    <w:rPr>
      <w:rFonts w:ascii="Arial" w:hAnsi="Arial" w:eastAsia="Arial" w:cs="Arial"/>
      <w:b/>
      <w:bCs/>
      <w:sz w:val="26"/>
      <w:szCs w:val="26"/>
    </w:rPr>
  </w:style>
  <w:style w:type="paragraph" w:styleId="735">
    <w:name w:val="Heading 5"/>
    <w:basedOn w:val="905"/>
    <w:next w:val="905"/>
    <w:link w:val="736"/>
    <w:uiPriority w:val="9"/>
    <w:unhideWhenUsed/>
    <w:qFormat/>
    <w:pPr>
      <w:keepLines/>
      <w:keepNext/>
      <w:spacing w:before="320" w:after="200"/>
      <w:outlineLvl w:val="4"/>
    </w:pPr>
    <w:rPr>
      <w:rFonts w:ascii="Arial" w:hAnsi="Arial" w:eastAsia="Arial" w:cs="Arial"/>
      <w:b/>
      <w:bCs/>
      <w:sz w:val="24"/>
      <w:szCs w:val="24"/>
    </w:rPr>
  </w:style>
  <w:style w:type="character" w:styleId="736">
    <w:name w:val="Heading 5 Char"/>
    <w:link w:val="735"/>
    <w:uiPriority w:val="9"/>
    <w:rPr>
      <w:rFonts w:ascii="Arial" w:hAnsi="Arial" w:eastAsia="Arial" w:cs="Arial"/>
      <w:b/>
      <w:bCs/>
      <w:sz w:val="24"/>
      <w:szCs w:val="24"/>
    </w:rPr>
  </w:style>
  <w:style w:type="paragraph" w:styleId="737">
    <w:name w:val="Heading 6"/>
    <w:basedOn w:val="905"/>
    <w:next w:val="905"/>
    <w:link w:val="738"/>
    <w:uiPriority w:val="9"/>
    <w:unhideWhenUsed/>
    <w:qFormat/>
    <w:pPr>
      <w:keepLines/>
      <w:keepNext/>
      <w:spacing w:before="320" w:after="200"/>
      <w:outlineLvl w:val="5"/>
    </w:pPr>
    <w:rPr>
      <w:rFonts w:ascii="Arial" w:hAnsi="Arial" w:eastAsia="Arial" w:cs="Arial"/>
      <w:b/>
      <w:bCs/>
      <w:sz w:val="22"/>
      <w:szCs w:val="22"/>
    </w:rPr>
  </w:style>
  <w:style w:type="character" w:styleId="738">
    <w:name w:val="Heading 6 Char"/>
    <w:link w:val="737"/>
    <w:uiPriority w:val="9"/>
    <w:rPr>
      <w:rFonts w:ascii="Arial" w:hAnsi="Arial" w:eastAsia="Arial" w:cs="Arial"/>
      <w:b/>
      <w:bCs/>
      <w:sz w:val="22"/>
      <w:szCs w:val="22"/>
    </w:rPr>
  </w:style>
  <w:style w:type="paragraph" w:styleId="739">
    <w:name w:val="Heading 7"/>
    <w:basedOn w:val="905"/>
    <w:next w:val="905"/>
    <w:link w:val="740"/>
    <w:uiPriority w:val="9"/>
    <w:unhideWhenUsed/>
    <w:qFormat/>
    <w:pPr>
      <w:keepLines/>
      <w:keepNext/>
      <w:spacing w:before="320" w:after="200"/>
      <w:outlineLvl w:val="6"/>
    </w:pPr>
    <w:rPr>
      <w:rFonts w:ascii="Arial" w:hAnsi="Arial" w:eastAsia="Arial" w:cs="Arial"/>
      <w:b/>
      <w:bCs/>
      <w:i/>
      <w:iCs/>
      <w:sz w:val="22"/>
      <w:szCs w:val="22"/>
    </w:rPr>
  </w:style>
  <w:style w:type="character" w:styleId="740">
    <w:name w:val="Heading 7 Char"/>
    <w:link w:val="739"/>
    <w:uiPriority w:val="9"/>
    <w:rPr>
      <w:rFonts w:ascii="Arial" w:hAnsi="Arial" w:eastAsia="Arial" w:cs="Arial"/>
      <w:b/>
      <w:bCs/>
      <w:i/>
      <w:iCs/>
      <w:sz w:val="22"/>
      <w:szCs w:val="22"/>
    </w:rPr>
  </w:style>
  <w:style w:type="paragraph" w:styleId="741">
    <w:name w:val="Heading 8"/>
    <w:basedOn w:val="905"/>
    <w:next w:val="905"/>
    <w:link w:val="742"/>
    <w:uiPriority w:val="9"/>
    <w:unhideWhenUsed/>
    <w:qFormat/>
    <w:pPr>
      <w:keepLines/>
      <w:keepNext/>
      <w:spacing w:before="320" w:after="200"/>
      <w:outlineLvl w:val="7"/>
    </w:pPr>
    <w:rPr>
      <w:rFonts w:ascii="Arial" w:hAnsi="Arial" w:eastAsia="Arial" w:cs="Arial"/>
      <w:i/>
      <w:iCs/>
      <w:sz w:val="22"/>
      <w:szCs w:val="22"/>
    </w:rPr>
  </w:style>
  <w:style w:type="character" w:styleId="742">
    <w:name w:val="Heading 8 Char"/>
    <w:link w:val="741"/>
    <w:uiPriority w:val="9"/>
    <w:rPr>
      <w:rFonts w:ascii="Arial" w:hAnsi="Arial" w:eastAsia="Arial" w:cs="Arial"/>
      <w:i/>
      <w:iCs/>
      <w:sz w:val="22"/>
      <w:szCs w:val="22"/>
    </w:rPr>
  </w:style>
  <w:style w:type="paragraph" w:styleId="743">
    <w:name w:val="Heading 9"/>
    <w:basedOn w:val="905"/>
    <w:next w:val="905"/>
    <w:link w:val="744"/>
    <w:uiPriority w:val="9"/>
    <w:unhideWhenUsed/>
    <w:qFormat/>
    <w:pPr>
      <w:keepLines/>
      <w:keepNext/>
      <w:spacing w:before="320" w:after="200"/>
      <w:outlineLvl w:val="8"/>
    </w:pPr>
    <w:rPr>
      <w:rFonts w:ascii="Arial" w:hAnsi="Arial" w:eastAsia="Arial" w:cs="Arial"/>
      <w:i/>
      <w:iCs/>
      <w:sz w:val="21"/>
      <w:szCs w:val="21"/>
    </w:rPr>
  </w:style>
  <w:style w:type="character" w:styleId="744">
    <w:name w:val="Heading 9 Char"/>
    <w:link w:val="743"/>
    <w:uiPriority w:val="9"/>
    <w:rPr>
      <w:rFonts w:ascii="Arial" w:hAnsi="Arial" w:eastAsia="Arial" w:cs="Arial"/>
      <w:i/>
      <w:iCs/>
      <w:sz w:val="21"/>
      <w:szCs w:val="21"/>
    </w:rPr>
  </w:style>
  <w:style w:type="paragraph" w:styleId="745">
    <w:name w:val="List Paragraph"/>
    <w:basedOn w:val="905"/>
    <w:uiPriority w:val="34"/>
    <w:qFormat/>
    <w:pPr>
      <w:contextualSpacing/>
      <w:ind w:left="720"/>
    </w:pPr>
  </w:style>
  <w:style w:type="paragraph" w:styleId="746">
    <w:name w:val="No Spacing"/>
    <w:uiPriority w:val="1"/>
    <w:qFormat/>
    <w:pPr>
      <w:spacing w:before="0" w:after="0" w:line="240" w:lineRule="auto"/>
    </w:pPr>
  </w:style>
  <w:style w:type="paragraph" w:styleId="747">
    <w:name w:val="Title"/>
    <w:basedOn w:val="905"/>
    <w:next w:val="905"/>
    <w:link w:val="748"/>
    <w:uiPriority w:val="10"/>
    <w:qFormat/>
    <w:pPr>
      <w:contextualSpacing/>
      <w:spacing w:before="300" w:after="200"/>
    </w:pPr>
    <w:rPr>
      <w:sz w:val="48"/>
      <w:szCs w:val="48"/>
    </w:rPr>
  </w:style>
  <w:style w:type="character" w:styleId="748">
    <w:name w:val="Title Char"/>
    <w:link w:val="747"/>
    <w:uiPriority w:val="10"/>
    <w:rPr>
      <w:sz w:val="48"/>
      <w:szCs w:val="48"/>
    </w:rPr>
  </w:style>
  <w:style w:type="paragraph" w:styleId="749">
    <w:name w:val="Subtitle"/>
    <w:basedOn w:val="905"/>
    <w:next w:val="905"/>
    <w:link w:val="750"/>
    <w:uiPriority w:val="11"/>
    <w:qFormat/>
    <w:pPr>
      <w:spacing w:before="200" w:after="200"/>
    </w:pPr>
    <w:rPr>
      <w:sz w:val="24"/>
      <w:szCs w:val="24"/>
    </w:rPr>
  </w:style>
  <w:style w:type="character" w:styleId="750">
    <w:name w:val="Subtitle Char"/>
    <w:link w:val="749"/>
    <w:uiPriority w:val="11"/>
    <w:rPr>
      <w:sz w:val="24"/>
      <w:szCs w:val="24"/>
    </w:rPr>
  </w:style>
  <w:style w:type="paragraph" w:styleId="751">
    <w:name w:val="Quote"/>
    <w:basedOn w:val="905"/>
    <w:next w:val="905"/>
    <w:link w:val="752"/>
    <w:uiPriority w:val="29"/>
    <w:qFormat/>
    <w:pPr>
      <w:ind w:left="720" w:right="720"/>
    </w:pPr>
    <w:rPr>
      <w:i/>
    </w:rPr>
  </w:style>
  <w:style w:type="character" w:styleId="752">
    <w:name w:val="Quote Char"/>
    <w:link w:val="751"/>
    <w:uiPriority w:val="29"/>
    <w:rPr>
      <w:i/>
    </w:rPr>
  </w:style>
  <w:style w:type="paragraph" w:styleId="753">
    <w:name w:val="Intense Quote"/>
    <w:basedOn w:val="905"/>
    <w:next w:val="905"/>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name w:val="Intense Quote Char"/>
    <w:link w:val="753"/>
    <w:uiPriority w:val="30"/>
    <w:rPr>
      <w:i/>
    </w:rPr>
  </w:style>
  <w:style w:type="paragraph" w:styleId="755">
    <w:name w:val="Header"/>
    <w:basedOn w:val="905"/>
    <w:link w:val="756"/>
    <w:uiPriority w:val="99"/>
    <w:unhideWhenUsed/>
    <w:pPr>
      <w:spacing w:after="0" w:line="240" w:lineRule="auto"/>
      <w:tabs>
        <w:tab w:val="center" w:pos="7143" w:leader="none"/>
        <w:tab w:val="right" w:pos="14287" w:leader="none"/>
      </w:tabs>
    </w:pPr>
  </w:style>
  <w:style w:type="character" w:styleId="756">
    <w:name w:val="Header Char"/>
    <w:link w:val="755"/>
    <w:uiPriority w:val="99"/>
  </w:style>
  <w:style w:type="paragraph" w:styleId="757">
    <w:name w:val="Footer"/>
    <w:basedOn w:val="905"/>
    <w:link w:val="760"/>
    <w:uiPriority w:val="99"/>
    <w:unhideWhenUsed/>
    <w:pPr>
      <w:spacing w:after="0" w:line="240" w:lineRule="auto"/>
      <w:tabs>
        <w:tab w:val="center" w:pos="7143" w:leader="none"/>
        <w:tab w:val="right" w:pos="14287" w:leader="none"/>
      </w:tabs>
    </w:pPr>
  </w:style>
  <w:style w:type="character" w:styleId="758">
    <w:name w:val="Footer Char"/>
    <w:link w:val="757"/>
    <w:uiPriority w:val="99"/>
  </w:style>
  <w:style w:type="paragraph" w:styleId="759">
    <w:name w:val="Caption"/>
    <w:basedOn w:val="905"/>
    <w:next w:val="905"/>
    <w:uiPriority w:val="35"/>
    <w:semiHidden/>
    <w:unhideWhenUsed/>
    <w:qFormat/>
    <w:pPr>
      <w:spacing w:line="276" w:lineRule="auto"/>
    </w:pPr>
    <w:rPr>
      <w:b/>
      <w:bCs/>
      <w:color w:val="4f81bd" w:themeColor="accent1"/>
      <w:sz w:val="18"/>
      <w:szCs w:val="18"/>
    </w:rPr>
  </w:style>
  <w:style w:type="character" w:styleId="760">
    <w:name w:val="Caption Char"/>
    <w:basedOn w:val="759"/>
    <w:link w:val="757"/>
    <w:uiPriority w:val="99"/>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7">
    <w:name w:val="Hyperlink"/>
    <w:uiPriority w:val="99"/>
    <w:unhideWhenUsed/>
    <w:rPr>
      <w:color w:val="0000ff" w:themeColor="hyperlink"/>
      <w:u w:val="single"/>
    </w:rPr>
  </w:style>
  <w:style w:type="paragraph" w:styleId="888">
    <w:name w:val="footnote text"/>
    <w:basedOn w:val="905"/>
    <w:link w:val="889"/>
    <w:uiPriority w:val="99"/>
    <w:semiHidden/>
    <w:unhideWhenUsed/>
    <w:pPr>
      <w:spacing w:after="40" w:line="240" w:lineRule="auto"/>
    </w:pPr>
    <w:rPr>
      <w:sz w:val="18"/>
    </w:rPr>
  </w:style>
  <w:style w:type="character" w:styleId="889">
    <w:name w:val="Footnote Text Char"/>
    <w:link w:val="888"/>
    <w:uiPriority w:val="99"/>
    <w:rPr>
      <w:sz w:val="18"/>
    </w:rPr>
  </w:style>
  <w:style w:type="character" w:styleId="890">
    <w:name w:val="footnote reference"/>
    <w:uiPriority w:val="99"/>
    <w:unhideWhenUsed/>
    <w:rPr>
      <w:vertAlign w:val="superscript"/>
    </w:rPr>
  </w:style>
  <w:style w:type="paragraph" w:styleId="891">
    <w:name w:val="endnote text"/>
    <w:basedOn w:val="905"/>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uiPriority w:val="99"/>
    <w:semiHidden/>
    <w:unhideWhenUsed/>
    <w:rPr>
      <w:vertAlign w:val="superscript"/>
    </w:rPr>
  </w:style>
  <w:style w:type="paragraph" w:styleId="894">
    <w:name w:val="toc 1"/>
    <w:basedOn w:val="905"/>
    <w:next w:val="905"/>
    <w:uiPriority w:val="39"/>
    <w:unhideWhenUsed/>
    <w:pPr>
      <w:ind w:left="0" w:right="0" w:firstLine="0"/>
      <w:spacing w:after="57"/>
    </w:pPr>
  </w:style>
  <w:style w:type="paragraph" w:styleId="895">
    <w:name w:val="toc 2"/>
    <w:basedOn w:val="905"/>
    <w:next w:val="905"/>
    <w:uiPriority w:val="39"/>
    <w:unhideWhenUsed/>
    <w:pPr>
      <w:ind w:left="283" w:right="0" w:firstLine="0"/>
      <w:spacing w:after="57"/>
    </w:pPr>
  </w:style>
  <w:style w:type="paragraph" w:styleId="896">
    <w:name w:val="toc 3"/>
    <w:basedOn w:val="905"/>
    <w:next w:val="905"/>
    <w:uiPriority w:val="39"/>
    <w:unhideWhenUsed/>
    <w:pPr>
      <w:ind w:left="567" w:right="0" w:firstLine="0"/>
      <w:spacing w:after="57"/>
    </w:pPr>
  </w:style>
  <w:style w:type="paragraph" w:styleId="897">
    <w:name w:val="toc 4"/>
    <w:basedOn w:val="905"/>
    <w:next w:val="905"/>
    <w:uiPriority w:val="39"/>
    <w:unhideWhenUsed/>
    <w:pPr>
      <w:ind w:left="850" w:right="0" w:firstLine="0"/>
      <w:spacing w:after="57"/>
    </w:pPr>
  </w:style>
  <w:style w:type="paragraph" w:styleId="898">
    <w:name w:val="toc 5"/>
    <w:basedOn w:val="905"/>
    <w:next w:val="905"/>
    <w:uiPriority w:val="39"/>
    <w:unhideWhenUsed/>
    <w:pPr>
      <w:ind w:left="1134" w:right="0" w:firstLine="0"/>
      <w:spacing w:after="57"/>
    </w:pPr>
  </w:style>
  <w:style w:type="paragraph" w:styleId="899">
    <w:name w:val="toc 6"/>
    <w:basedOn w:val="905"/>
    <w:next w:val="905"/>
    <w:uiPriority w:val="39"/>
    <w:unhideWhenUsed/>
    <w:pPr>
      <w:ind w:left="1417" w:right="0" w:firstLine="0"/>
      <w:spacing w:after="57"/>
    </w:pPr>
  </w:style>
  <w:style w:type="paragraph" w:styleId="900">
    <w:name w:val="toc 7"/>
    <w:basedOn w:val="905"/>
    <w:next w:val="905"/>
    <w:uiPriority w:val="39"/>
    <w:unhideWhenUsed/>
    <w:pPr>
      <w:ind w:left="1701" w:right="0" w:firstLine="0"/>
      <w:spacing w:after="57"/>
    </w:pPr>
  </w:style>
  <w:style w:type="paragraph" w:styleId="901">
    <w:name w:val="toc 8"/>
    <w:basedOn w:val="905"/>
    <w:next w:val="905"/>
    <w:uiPriority w:val="39"/>
    <w:unhideWhenUsed/>
    <w:pPr>
      <w:ind w:left="1984" w:right="0" w:firstLine="0"/>
      <w:spacing w:after="57"/>
    </w:pPr>
  </w:style>
  <w:style w:type="paragraph" w:styleId="902">
    <w:name w:val="toc 9"/>
    <w:basedOn w:val="905"/>
    <w:next w:val="905"/>
    <w:uiPriority w:val="39"/>
    <w:unhideWhenUsed/>
    <w:pPr>
      <w:ind w:left="2268" w:right="0" w:firstLine="0"/>
      <w:spacing w:after="57"/>
    </w:pPr>
  </w:style>
  <w:style w:type="paragraph" w:styleId="903">
    <w:name w:val="TOC Heading"/>
    <w:uiPriority w:val="39"/>
    <w:unhideWhenUsed/>
  </w:style>
  <w:style w:type="paragraph" w:styleId="904">
    <w:name w:val="table of figures"/>
    <w:basedOn w:val="905"/>
    <w:next w:val="905"/>
    <w:uiPriority w:val="99"/>
    <w:unhideWhenUsed/>
    <w:pPr>
      <w:spacing w:after="0" w:afterAutospacing="0"/>
    </w:pPr>
  </w:style>
  <w:style w:type="paragraph" w:styleId="905" w:default="1">
    <w:name w:val="Normal"/>
    <w:next w:val="905"/>
    <w:link w:val="905"/>
    <w:qFormat/>
    <w:pPr>
      <w:jc w:val="both"/>
      <w:widowControl w:val="off"/>
    </w:pPr>
    <w:rPr>
      <w:rFonts w:ascii="Times New Roman" w:hAnsi="Times New Roman"/>
      <w:sz w:val="21"/>
      <w:szCs w:val="21"/>
      <w:lang w:val="en-US" w:eastAsia="zh-CN" w:bidi="ar-SA"/>
    </w:rPr>
  </w:style>
  <w:style w:type="paragraph" w:styleId="906">
    <w:name w:val="标题 1"/>
    <w:basedOn w:val="905"/>
    <w:next w:val="905"/>
    <w:link w:val="918"/>
    <w:qFormat/>
    <w:pPr>
      <w:jc w:val="center"/>
      <w:keepNext/>
      <w:outlineLvl w:val="0"/>
    </w:pPr>
    <w:rPr>
      <w:rFonts w:ascii="楷体_GB2312" w:eastAsia="楷体_GB2312"/>
      <w:sz w:val="28"/>
      <w:szCs w:val="28"/>
      <w:lang w:val="en-US" w:eastAsia="en-US"/>
    </w:rPr>
  </w:style>
  <w:style w:type="paragraph" w:styleId="907">
    <w:name w:val="标题 2"/>
    <w:basedOn w:val="905"/>
    <w:next w:val="920"/>
    <w:link w:val="919"/>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08">
    <w:name w:val="标题 3"/>
    <w:basedOn w:val="905"/>
    <w:next w:val="920"/>
    <w:link w:val="922"/>
    <w:qFormat/>
    <w:pPr>
      <w:keepLines/>
      <w:keepNext/>
      <w:spacing w:before="260" w:after="260" w:line="416" w:lineRule="auto"/>
      <w:outlineLvl w:val="2"/>
    </w:pPr>
    <w:rPr>
      <w:b/>
      <w:bCs/>
      <w:sz w:val="32"/>
      <w:szCs w:val="32"/>
      <w:lang w:val="en-US" w:eastAsia="en-US"/>
    </w:rPr>
  </w:style>
  <w:style w:type="paragraph" w:styleId="909">
    <w:name w:val="标题 4"/>
    <w:basedOn w:val="905"/>
    <w:next w:val="920"/>
    <w:link w:val="923"/>
    <w:qFormat/>
    <w:pPr>
      <w:keepLines/>
      <w:keepNext/>
      <w:spacing w:before="280" w:after="290" w:line="376" w:lineRule="auto"/>
      <w:outlineLvl w:val="3"/>
    </w:pPr>
    <w:rPr>
      <w:rFonts w:ascii="Arial" w:hAnsi="Arial" w:eastAsia="黑体"/>
      <w:b/>
      <w:bCs/>
      <w:sz w:val="28"/>
      <w:szCs w:val="28"/>
      <w:lang w:val="en-US" w:eastAsia="en-US"/>
    </w:rPr>
  </w:style>
  <w:style w:type="paragraph" w:styleId="910">
    <w:name w:val="标题 5"/>
    <w:basedOn w:val="905"/>
    <w:next w:val="920"/>
    <w:link w:val="924"/>
    <w:qFormat/>
    <w:pPr>
      <w:keepNext/>
      <w:outlineLvl w:val="4"/>
    </w:pPr>
    <w:rPr>
      <w:rFonts w:ascii="宋体"/>
      <w:color w:val="000000"/>
      <w:sz w:val="28"/>
      <w:szCs w:val="28"/>
      <w:lang w:val="en-US" w:eastAsia="en-US"/>
    </w:rPr>
  </w:style>
  <w:style w:type="paragraph" w:styleId="911">
    <w:name w:val="标题 6"/>
    <w:basedOn w:val="905"/>
    <w:next w:val="905"/>
    <w:link w:val="925"/>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2">
    <w:name w:val="标题 7"/>
    <w:basedOn w:val="905"/>
    <w:next w:val="905"/>
    <w:link w:val="926"/>
    <w:qFormat/>
    <w:pPr>
      <w:numPr>
        <w:ilvl w:val="6"/>
        <w:numId w:val="1"/>
      </w:numPr>
      <w:keepLines/>
      <w:keepNext/>
      <w:spacing w:before="240" w:after="64" w:line="320" w:lineRule="auto"/>
      <w:outlineLvl w:val="6"/>
    </w:pPr>
    <w:rPr>
      <w:b/>
      <w:bCs/>
      <w:sz w:val="24"/>
      <w:szCs w:val="24"/>
      <w:lang w:val="en-US" w:eastAsia="en-US"/>
    </w:rPr>
  </w:style>
  <w:style w:type="paragraph" w:styleId="913">
    <w:name w:val="标题 8"/>
    <w:basedOn w:val="905"/>
    <w:next w:val="905"/>
    <w:link w:val="927"/>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14">
    <w:name w:val="标题 9"/>
    <w:basedOn w:val="905"/>
    <w:next w:val="905"/>
    <w:link w:val="928"/>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15">
    <w:name w:val="默认段落字体"/>
    <w:next w:val="915"/>
    <w:link w:val="905"/>
    <w:uiPriority w:val="1"/>
    <w:unhideWhenUsed/>
  </w:style>
  <w:style w:type="table" w:styleId="916">
    <w:name w:val="普通表格"/>
    <w:next w:val="916"/>
    <w:link w:val="905"/>
    <w:uiPriority w:val="99"/>
    <w:unhideWhenUsed/>
    <w:tblPr/>
  </w:style>
  <w:style w:type="numbering" w:styleId="917">
    <w:name w:val="无列表"/>
    <w:next w:val="917"/>
    <w:link w:val="905"/>
    <w:uiPriority w:val="99"/>
    <w:semiHidden/>
    <w:unhideWhenUsed/>
  </w:style>
  <w:style w:type="character" w:styleId="918">
    <w:name w:val="标题 1 Char"/>
    <w:next w:val="918"/>
    <w:link w:val="906"/>
    <w:rPr>
      <w:rFonts w:ascii="楷体_GB2312" w:hAnsi="Times New Roman" w:eastAsia="楷体_GB2312" w:cs="Times New Roman"/>
      <w:sz w:val="28"/>
      <w:szCs w:val="28"/>
    </w:rPr>
  </w:style>
  <w:style w:type="character" w:styleId="919">
    <w:name w:val="标题 2 Char"/>
    <w:next w:val="919"/>
    <w:link w:val="907"/>
    <w:rPr>
      <w:rFonts w:ascii="Arial" w:hAnsi="Arial" w:eastAsia="幼圆" w:cs="Arial"/>
      <w:b/>
      <w:bCs/>
      <w:sz w:val="44"/>
      <w:szCs w:val="44"/>
    </w:rPr>
  </w:style>
  <w:style w:type="paragraph" w:styleId="920">
    <w:name w:val="正文缩进"/>
    <w:basedOn w:val="905"/>
    <w:next w:val="920"/>
    <w:link w:val="921"/>
    <w:pPr>
      <w:ind w:firstLine="420"/>
    </w:pPr>
    <w:rPr>
      <w:sz w:val="20"/>
      <w:lang w:val="en-US" w:eastAsia="en-US"/>
    </w:rPr>
  </w:style>
  <w:style w:type="character" w:styleId="921">
    <w:name w:val="正文缩进 Char"/>
    <w:next w:val="921"/>
    <w:link w:val="920"/>
    <w:rPr>
      <w:rFonts w:ascii="Times New Roman" w:hAnsi="Times New Roman" w:eastAsia="宋体" w:cs="Times New Roman"/>
      <w:szCs w:val="21"/>
    </w:rPr>
  </w:style>
  <w:style w:type="character" w:styleId="922">
    <w:name w:val="标题 3 Char"/>
    <w:next w:val="922"/>
    <w:link w:val="908"/>
    <w:rPr>
      <w:rFonts w:ascii="Times New Roman" w:hAnsi="Times New Roman" w:eastAsia="宋体" w:cs="Times New Roman"/>
      <w:b/>
      <w:bCs/>
      <w:sz w:val="32"/>
      <w:szCs w:val="32"/>
    </w:rPr>
  </w:style>
  <w:style w:type="character" w:styleId="923">
    <w:name w:val="标题 4 Char"/>
    <w:next w:val="923"/>
    <w:link w:val="909"/>
    <w:rPr>
      <w:rFonts w:ascii="Arial" w:hAnsi="Arial" w:eastAsia="黑体" w:cs="Arial"/>
      <w:b/>
      <w:bCs/>
      <w:sz w:val="28"/>
      <w:szCs w:val="28"/>
    </w:rPr>
  </w:style>
  <w:style w:type="character" w:styleId="924">
    <w:name w:val="标题 5 Char"/>
    <w:next w:val="924"/>
    <w:link w:val="910"/>
    <w:rPr>
      <w:rFonts w:ascii="宋体" w:hAnsi="Times New Roman" w:eastAsia="宋体" w:cs="Times New Roman"/>
      <w:color w:val="000000"/>
      <w:sz w:val="28"/>
      <w:szCs w:val="28"/>
    </w:rPr>
  </w:style>
  <w:style w:type="character" w:styleId="925">
    <w:name w:val="标题 6 Char"/>
    <w:next w:val="925"/>
    <w:link w:val="911"/>
    <w:rPr>
      <w:rFonts w:ascii="Arial" w:hAnsi="Arial" w:eastAsia="黑体" w:cs="Times New Roman"/>
      <w:b/>
      <w:bCs/>
      <w:sz w:val="24"/>
      <w:szCs w:val="24"/>
    </w:rPr>
  </w:style>
  <w:style w:type="character" w:styleId="926">
    <w:name w:val="标题 7 Char"/>
    <w:next w:val="926"/>
    <w:link w:val="912"/>
    <w:rPr>
      <w:rFonts w:ascii="Times New Roman" w:hAnsi="Times New Roman" w:eastAsia="宋体" w:cs="Times New Roman"/>
      <w:b/>
      <w:bCs/>
      <w:sz w:val="24"/>
      <w:szCs w:val="24"/>
    </w:rPr>
  </w:style>
  <w:style w:type="character" w:styleId="927">
    <w:name w:val="标题 8 Char"/>
    <w:next w:val="927"/>
    <w:link w:val="913"/>
    <w:rPr>
      <w:rFonts w:ascii="Arial" w:hAnsi="Arial" w:eastAsia="黑体" w:cs="Times New Roman"/>
      <w:sz w:val="24"/>
      <w:szCs w:val="24"/>
    </w:rPr>
  </w:style>
  <w:style w:type="character" w:styleId="928">
    <w:name w:val="标题 9 Char"/>
    <w:next w:val="928"/>
    <w:link w:val="914"/>
    <w:rPr>
      <w:rFonts w:ascii="Arial" w:hAnsi="Arial" w:eastAsia="黑体" w:cs="Times New Roman"/>
      <w:szCs w:val="21"/>
    </w:rPr>
  </w:style>
  <w:style w:type="paragraph" w:styleId="929">
    <w:name w:val="列表 3"/>
    <w:basedOn w:val="905"/>
    <w:next w:val="929"/>
    <w:link w:val="905"/>
    <w:pPr>
      <w:ind w:left="100" w:hanging="200"/>
    </w:pPr>
  </w:style>
  <w:style w:type="paragraph" w:styleId="930">
    <w:name w:val="目录 7"/>
    <w:basedOn w:val="905"/>
    <w:next w:val="905"/>
    <w:link w:val="905"/>
    <w:semiHidden/>
    <w:pPr>
      <w:ind w:left="1260"/>
      <w:jc w:val="left"/>
    </w:pPr>
  </w:style>
  <w:style w:type="paragraph" w:styleId="931">
    <w:name w:val="文档结构图"/>
    <w:basedOn w:val="905"/>
    <w:next w:val="931"/>
    <w:link w:val="932"/>
    <w:semiHidden/>
    <w:pPr>
      <w:shd w:val="clear" w:color="auto" w:fill="000080"/>
    </w:pPr>
    <w:rPr>
      <w:sz w:val="20"/>
      <w:lang w:val="en-US" w:eastAsia="en-US"/>
    </w:rPr>
  </w:style>
  <w:style w:type="character" w:styleId="932">
    <w:name w:val="文档结构图 Char"/>
    <w:next w:val="932"/>
    <w:link w:val="931"/>
    <w:semiHidden/>
    <w:rPr>
      <w:rFonts w:ascii="Times New Roman" w:hAnsi="Times New Roman" w:eastAsia="宋体" w:cs="Times New Roman"/>
      <w:szCs w:val="21"/>
      <w:shd w:val="clear" w:color="auto" w:fill="000080"/>
    </w:rPr>
  </w:style>
  <w:style w:type="paragraph" w:styleId="933">
    <w:name w:val="批注文字"/>
    <w:basedOn w:val="905"/>
    <w:next w:val="933"/>
    <w:link w:val="934"/>
    <w:semiHidden/>
    <w:pPr>
      <w:jc w:val="left"/>
    </w:pPr>
    <w:rPr>
      <w:sz w:val="20"/>
      <w:lang w:val="en-US" w:eastAsia="en-US"/>
    </w:rPr>
  </w:style>
  <w:style w:type="character" w:styleId="934">
    <w:name w:val="批注文字 Char"/>
    <w:next w:val="934"/>
    <w:link w:val="933"/>
    <w:semiHidden/>
    <w:rPr>
      <w:rFonts w:ascii="Times New Roman" w:hAnsi="Times New Roman" w:eastAsia="宋体" w:cs="Times New Roman"/>
      <w:szCs w:val="21"/>
    </w:rPr>
  </w:style>
  <w:style w:type="paragraph" w:styleId="935">
    <w:name w:val="正文文本 3"/>
    <w:basedOn w:val="905"/>
    <w:next w:val="935"/>
    <w:link w:val="936"/>
    <w:rPr>
      <w:rFonts w:ascii="仿宋_GB2312" w:hAnsi="Arial" w:eastAsia="仿宋_GB2312"/>
      <w:sz w:val="32"/>
      <w:szCs w:val="32"/>
      <w:lang w:val="en-US" w:eastAsia="en-US"/>
    </w:rPr>
  </w:style>
  <w:style w:type="character" w:styleId="936">
    <w:name w:val="正文文本 3 Char"/>
    <w:next w:val="936"/>
    <w:link w:val="935"/>
    <w:rPr>
      <w:rFonts w:ascii="仿宋_GB2312" w:hAnsi="Arial" w:eastAsia="仿宋_GB2312" w:cs="Times New Roman"/>
      <w:sz w:val="32"/>
      <w:szCs w:val="32"/>
    </w:rPr>
  </w:style>
  <w:style w:type="paragraph" w:styleId="937">
    <w:name w:val="正文文本"/>
    <w:basedOn w:val="905"/>
    <w:next w:val="937"/>
    <w:link w:val="938"/>
    <w:rPr>
      <w:rFonts w:ascii="楷体_GB2312" w:hAnsi="Arial" w:eastAsia="楷体_GB2312"/>
      <w:sz w:val="28"/>
      <w:szCs w:val="28"/>
      <w:lang w:val="en-US" w:eastAsia="en-US"/>
    </w:rPr>
  </w:style>
  <w:style w:type="character" w:styleId="938">
    <w:name w:val="正文文本 Char"/>
    <w:next w:val="938"/>
    <w:link w:val="937"/>
    <w:rPr>
      <w:rFonts w:ascii="楷体_GB2312" w:hAnsi="Arial" w:eastAsia="楷体_GB2312" w:cs="Times New Roman"/>
      <w:sz w:val="28"/>
      <w:szCs w:val="28"/>
    </w:rPr>
  </w:style>
  <w:style w:type="paragraph" w:styleId="939">
    <w:name w:val="正文文本缩进"/>
    <w:basedOn w:val="905"/>
    <w:next w:val="939"/>
    <w:link w:val="940"/>
    <w:pPr>
      <w:ind w:firstLine="645"/>
    </w:pPr>
    <w:rPr>
      <w:rFonts w:ascii="楷体_GB2312" w:eastAsia="楷体_GB2312"/>
      <w:sz w:val="32"/>
      <w:szCs w:val="32"/>
      <w:lang w:val="en-US" w:eastAsia="en-US"/>
    </w:rPr>
  </w:style>
  <w:style w:type="character" w:styleId="940">
    <w:name w:val="正文文本缩进 Char"/>
    <w:next w:val="940"/>
    <w:link w:val="939"/>
    <w:rPr>
      <w:rFonts w:ascii="楷体_GB2312" w:hAnsi="Times New Roman" w:eastAsia="楷体_GB2312" w:cs="Times New Roman"/>
      <w:sz w:val="32"/>
      <w:szCs w:val="32"/>
    </w:rPr>
  </w:style>
  <w:style w:type="paragraph" w:styleId="941">
    <w:name w:val="列表 2"/>
    <w:basedOn w:val="905"/>
    <w:next w:val="941"/>
    <w:link w:val="905"/>
    <w:pPr>
      <w:ind w:left="100" w:hanging="200"/>
    </w:pPr>
  </w:style>
  <w:style w:type="paragraph" w:styleId="942">
    <w:name w:val="目录 5"/>
    <w:basedOn w:val="905"/>
    <w:next w:val="905"/>
    <w:link w:val="905"/>
    <w:semiHidden/>
    <w:pPr>
      <w:ind w:left="840"/>
      <w:jc w:val="left"/>
    </w:pPr>
  </w:style>
  <w:style w:type="paragraph" w:styleId="943">
    <w:name w:val="目录 3"/>
    <w:basedOn w:val="905"/>
    <w:next w:val="905"/>
    <w:link w:val="905"/>
    <w:semiHidden/>
    <w:pPr>
      <w:ind w:left="420"/>
      <w:jc w:val="left"/>
    </w:pPr>
    <w:rPr>
      <w:i/>
      <w:iCs/>
      <w:szCs w:val="24"/>
    </w:rPr>
  </w:style>
  <w:style w:type="paragraph" w:styleId="944">
    <w:name w:val="纯文本"/>
    <w:basedOn w:val="905"/>
    <w:next w:val="944"/>
    <w:link w:val="945"/>
    <w:rPr>
      <w:rFonts w:ascii="宋体" w:hAnsi="Courier New"/>
      <w:sz w:val="20"/>
      <w:lang w:val="en-US" w:eastAsia="en-US"/>
    </w:rPr>
  </w:style>
  <w:style w:type="character" w:styleId="945">
    <w:name w:val="纯文本 Char"/>
    <w:next w:val="945"/>
    <w:link w:val="944"/>
    <w:rPr>
      <w:rFonts w:ascii="宋体" w:hAnsi="Courier New" w:eastAsia="宋体" w:cs="Courier New"/>
      <w:szCs w:val="21"/>
    </w:rPr>
  </w:style>
  <w:style w:type="paragraph" w:styleId="946">
    <w:name w:val="目录 8"/>
    <w:basedOn w:val="905"/>
    <w:next w:val="905"/>
    <w:link w:val="905"/>
    <w:semiHidden/>
    <w:pPr>
      <w:ind w:left="1470"/>
      <w:jc w:val="left"/>
    </w:pPr>
  </w:style>
  <w:style w:type="paragraph" w:styleId="947">
    <w:name w:val="日期"/>
    <w:basedOn w:val="905"/>
    <w:next w:val="905"/>
    <w:link w:val="948"/>
    <w:rPr>
      <w:sz w:val="24"/>
      <w:szCs w:val="24"/>
      <w:lang w:val="en-US" w:eastAsia="en-US"/>
    </w:rPr>
  </w:style>
  <w:style w:type="character" w:styleId="948">
    <w:name w:val="日期 Char"/>
    <w:next w:val="948"/>
    <w:link w:val="947"/>
    <w:rPr>
      <w:rFonts w:ascii="Times New Roman" w:hAnsi="Times New Roman" w:eastAsia="宋体" w:cs="Times New Roman"/>
      <w:sz w:val="24"/>
      <w:szCs w:val="24"/>
    </w:rPr>
  </w:style>
  <w:style w:type="paragraph" w:styleId="949">
    <w:name w:val="正文文本缩进 2"/>
    <w:basedOn w:val="905"/>
    <w:next w:val="949"/>
    <w:link w:val="950"/>
    <w:pPr>
      <w:ind w:left="630" w:firstLine="645"/>
    </w:pPr>
    <w:rPr>
      <w:rFonts w:ascii="Arial" w:hAnsi="Arial" w:eastAsia="仿宋_GB2312"/>
      <w:sz w:val="32"/>
      <w:szCs w:val="32"/>
      <w:lang w:val="en-US" w:eastAsia="en-US"/>
    </w:rPr>
  </w:style>
  <w:style w:type="character" w:styleId="950">
    <w:name w:val="正文文本缩进 2 Char"/>
    <w:next w:val="950"/>
    <w:link w:val="949"/>
    <w:rPr>
      <w:rFonts w:ascii="Arial" w:hAnsi="Arial" w:eastAsia="仿宋_GB2312" w:cs="Arial"/>
      <w:sz w:val="32"/>
      <w:szCs w:val="32"/>
    </w:rPr>
  </w:style>
  <w:style w:type="paragraph" w:styleId="951">
    <w:name w:val="批注框文本"/>
    <w:basedOn w:val="905"/>
    <w:next w:val="951"/>
    <w:link w:val="952"/>
    <w:semiHidden/>
    <w:rPr>
      <w:sz w:val="18"/>
      <w:szCs w:val="18"/>
      <w:lang w:val="en-US" w:eastAsia="en-US"/>
    </w:rPr>
  </w:style>
  <w:style w:type="character" w:styleId="952">
    <w:name w:val="批注框文本 Char"/>
    <w:next w:val="952"/>
    <w:link w:val="951"/>
    <w:semiHidden/>
    <w:rPr>
      <w:rFonts w:ascii="Times New Roman" w:hAnsi="Times New Roman" w:eastAsia="宋体" w:cs="Times New Roman"/>
      <w:sz w:val="18"/>
      <w:szCs w:val="18"/>
    </w:rPr>
  </w:style>
  <w:style w:type="paragraph" w:styleId="953">
    <w:name w:val="页脚"/>
    <w:basedOn w:val="905"/>
    <w:next w:val="953"/>
    <w:link w:val="954"/>
    <w:pPr>
      <w:jc w:val="left"/>
      <w:tabs>
        <w:tab w:val="center" w:pos="4153" w:leader="none"/>
        <w:tab w:val="right" w:pos="8306" w:leader="none"/>
      </w:tabs>
    </w:pPr>
    <w:rPr>
      <w:sz w:val="18"/>
      <w:szCs w:val="18"/>
      <w:lang w:val="en-US" w:eastAsia="en-US"/>
    </w:rPr>
  </w:style>
  <w:style w:type="character" w:styleId="954">
    <w:name w:val="页脚 Char"/>
    <w:next w:val="954"/>
    <w:link w:val="953"/>
    <w:rPr>
      <w:rFonts w:ascii="Times New Roman" w:hAnsi="Times New Roman" w:eastAsia="宋体" w:cs="Times New Roman"/>
      <w:sz w:val="18"/>
      <w:szCs w:val="18"/>
    </w:rPr>
  </w:style>
  <w:style w:type="paragraph" w:styleId="955">
    <w:name w:val="页眉"/>
    <w:basedOn w:val="905"/>
    <w:next w:val="955"/>
    <w:link w:val="956"/>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56">
    <w:name w:val="页眉 Char"/>
    <w:next w:val="956"/>
    <w:link w:val="955"/>
    <w:uiPriority w:val="99"/>
    <w:qFormat/>
    <w:rPr>
      <w:rFonts w:ascii="Times New Roman" w:hAnsi="Times New Roman" w:eastAsia="宋体" w:cs="Times New Roman"/>
      <w:sz w:val="18"/>
      <w:szCs w:val="18"/>
    </w:rPr>
  </w:style>
  <w:style w:type="paragraph" w:styleId="957">
    <w:name w:val="目录 1"/>
    <w:basedOn w:val="905"/>
    <w:next w:val="905"/>
    <w:link w:val="905"/>
    <w:semiHidden/>
    <w:pPr>
      <w:jc w:val="left"/>
      <w:spacing w:before="120" w:after="120" w:line="400" w:lineRule="exact"/>
      <w:tabs>
        <w:tab w:val="right" w:pos="8720" w:leader="dot"/>
      </w:tabs>
    </w:pPr>
    <w:rPr>
      <w:rFonts w:ascii="宋体" w:hAnsi="宋体"/>
      <w:caps/>
      <w:sz w:val="24"/>
      <w:szCs w:val="24"/>
    </w:rPr>
  </w:style>
  <w:style w:type="paragraph" w:styleId="958">
    <w:name w:val="目录 4"/>
    <w:basedOn w:val="905"/>
    <w:next w:val="905"/>
    <w:link w:val="905"/>
    <w:semiHidden/>
    <w:pPr>
      <w:ind w:left="630"/>
      <w:jc w:val="left"/>
    </w:pPr>
  </w:style>
  <w:style w:type="paragraph" w:styleId="959">
    <w:name w:val="列表"/>
    <w:basedOn w:val="905"/>
    <w:next w:val="959"/>
    <w:link w:val="905"/>
    <w:pPr>
      <w:ind w:left="200" w:hanging="200"/>
    </w:pPr>
  </w:style>
  <w:style w:type="paragraph" w:styleId="960">
    <w:name w:val="目录 6"/>
    <w:basedOn w:val="905"/>
    <w:next w:val="905"/>
    <w:link w:val="905"/>
    <w:semiHidden/>
    <w:pPr>
      <w:ind w:left="1050"/>
      <w:jc w:val="left"/>
    </w:pPr>
  </w:style>
  <w:style w:type="paragraph" w:styleId="961">
    <w:name w:val="正文文本缩进 3"/>
    <w:basedOn w:val="905"/>
    <w:next w:val="961"/>
    <w:link w:val="962"/>
    <w:pPr>
      <w:ind w:left="645" w:firstLine="645"/>
    </w:pPr>
    <w:rPr>
      <w:rFonts w:ascii="Arial" w:hAnsi="Arial" w:eastAsia="仿宋_GB2312"/>
      <w:color w:val="ffff00"/>
      <w:sz w:val="32"/>
      <w:szCs w:val="32"/>
      <w:lang w:val="en-US" w:eastAsia="en-US"/>
    </w:rPr>
  </w:style>
  <w:style w:type="character" w:styleId="962">
    <w:name w:val="正文文本缩进 3 Char"/>
    <w:next w:val="962"/>
    <w:link w:val="961"/>
    <w:rPr>
      <w:rFonts w:ascii="Arial" w:hAnsi="Arial" w:eastAsia="仿宋_GB2312" w:cs="Arial"/>
      <w:color w:val="ffff00"/>
      <w:sz w:val="32"/>
      <w:szCs w:val="32"/>
    </w:rPr>
  </w:style>
  <w:style w:type="paragraph" w:styleId="963">
    <w:name w:val="图表目录"/>
    <w:basedOn w:val="905"/>
    <w:next w:val="905"/>
    <w:link w:val="905"/>
    <w:semiHidden/>
    <w:pPr>
      <w:ind w:left="840" w:hanging="420"/>
    </w:pPr>
  </w:style>
  <w:style w:type="paragraph" w:styleId="964">
    <w:name w:val="目录 2"/>
    <w:basedOn w:val="905"/>
    <w:next w:val="905"/>
    <w:link w:val="905"/>
    <w:semiHidden/>
    <w:pPr>
      <w:ind w:left="210"/>
      <w:jc w:val="left"/>
    </w:pPr>
    <w:rPr>
      <w:smallCaps/>
      <w:szCs w:val="24"/>
    </w:rPr>
  </w:style>
  <w:style w:type="paragraph" w:styleId="965">
    <w:name w:val="目录 9"/>
    <w:basedOn w:val="905"/>
    <w:next w:val="905"/>
    <w:link w:val="905"/>
    <w:semiHidden/>
    <w:pPr>
      <w:ind w:left="1680"/>
      <w:jc w:val="left"/>
    </w:pPr>
  </w:style>
  <w:style w:type="paragraph" w:styleId="966">
    <w:name w:val="正文文本 2"/>
    <w:basedOn w:val="905"/>
    <w:next w:val="966"/>
    <w:link w:val="967"/>
    <w:pPr>
      <w:jc w:val="center"/>
      <w:widowControl/>
    </w:pPr>
    <w:rPr>
      <w:rFonts w:ascii="楷体_GB2312" w:eastAsia="楷体_GB2312"/>
      <w:sz w:val="28"/>
      <w:szCs w:val="28"/>
      <w:lang w:val="en-US" w:eastAsia="en-US"/>
    </w:rPr>
  </w:style>
  <w:style w:type="character" w:styleId="967">
    <w:name w:val="正文文本 2 Char"/>
    <w:next w:val="967"/>
    <w:link w:val="966"/>
    <w:rPr>
      <w:rFonts w:ascii="楷体_GB2312" w:hAnsi="Times New Roman" w:eastAsia="楷体_GB2312" w:cs="Times New Roman"/>
      <w:sz w:val="28"/>
      <w:szCs w:val="28"/>
    </w:rPr>
  </w:style>
  <w:style w:type="paragraph" w:styleId="968">
    <w:name w:val="普通(网站)"/>
    <w:basedOn w:val="905"/>
    <w:next w:val="968"/>
    <w:link w:val="905"/>
    <w:uiPriority w:val="99"/>
    <w:pPr>
      <w:jc w:val="left"/>
      <w:spacing w:before="100" w:beforeAutospacing="1" w:after="100" w:afterAutospacing="1"/>
      <w:widowControl/>
    </w:pPr>
    <w:rPr>
      <w:rFonts w:ascii="宋体" w:hAnsi="宋体" w:cs="宋体"/>
      <w:sz w:val="24"/>
      <w:szCs w:val="24"/>
    </w:rPr>
  </w:style>
  <w:style w:type="paragraph" w:styleId="969">
    <w:name w:val="索引 1"/>
    <w:basedOn w:val="905"/>
    <w:next w:val="905"/>
    <w:link w:val="905"/>
    <w:semiHidden/>
    <w:pPr>
      <w:spacing w:line="240" w:lineRule="atLeast"/>
    </w:pPr>
    <w:rPr>
      <w:b/>
      <w:bCs/>
    </w:rPr>
  </w:style>
  <w:style w:type="paragraph" w:styleId="970">
    <w:name w:val="批注主题"/>
    <w:basedOn w:val="933"/>
    <w:next w:val="933"/>
    <w:link w:val="971"/>
    <w:semiHidden/>
    <w:rPr>
      <w:b/>
      <w:bCs/>
    </w:rPr>
  </w:style>
  <w:style w:type="character" w:styleId="971">
    <w:name w:val="批注主题 Char"/>
    <w:next w:val="971"/>
    <w:link w:val="970"/>
    <w:semiHidden/>
    <w:rPr>
      <w:rFonts w:ascii="Times New Roman" w:hAnsi="Times New Roman" w:eastAsia="宋体" w:cs="Times New Roman"/>
      <w:b/>
      <w:bCs/>
      <w:szCs w:val="21"/>
    </w:rPr>
  </w:style>
  <w:style w:type="paragraph" w:styleId="972">
    <w:name w:val="正文首行缩进"/>
    <w:basedOn w:val="905"/>
    <w:next w:val="972"/>
    <w:link w:val="973"/>
    <w:pPr>
      <w:ind w:firstLine="200"/>
      <w:spacing w:line="360" w:lineRule="auto"/>
    </w:pPr>
    <w:rPr>
      <w:rFonts w:ascii="仿宋_GB2312" w:eastAsia="仿宋_GB2312"/>
      <w:sz w:val="30"/>
      <w:szCs w:val="30"/>
      <w:lang w:val="en-US" w:eastAsia="en-US"/>
    </w:rPr>
  </w:style>
  <w:style w:type="character" w:styleId="973">
    <w:name w:val="正文首行缩进 Char"/>
    <w:next w:val="973"/>
    <w:link w:val="972"/>
    <w:rPr>
      <w:rFonts w:ascii="仿宋_GB2312" w:hAnsi="Times New Roman" w:eastAsia="仿宋_GB2312" w:cs="Times New Roman"/>
      <w:sz w:val="30"/>
      <w:szCs w:val="30"/>
    </w:rPr>
  </w:style>
  <w:style w:type="paragraph" w:styleId="974">
    <w:name w:val="正文首行缩进 2"/>
    <w:basedOn w:val="939"/>
    <w:next w:val="974"/>
    <w:link w:val="975"/>
    <w:pPr>
      <w:ind w:firstLine="420"/>
      <w:spacing w:line="360" w:lineRule="auto"/>
    </w:pPr>
    <w:rPr>
      <w:rFonts w:ascii="宋体" w:hAnsi="宋体" w:eastAsia="宋体"/>
      <w:szCs w:val="20"/>
    </w:rPr>
  </w:style>
  <w:style w:type="character" w:styleId="975">
    <w:name w:val="正文首行缩进 2 Char"/>
    <w:next w:val="975"/>
    <w:link w:val="974"/>
    <w:rPr>
      <w:rFonts w:ascii="宋体" w:hAnsi="宋体" w:eastAsia="宋体" w:cs="Times New Roman"/>
      <w:sz w:val="32"/>
      <w:szCs w:val="20"/>
    </w:rPr>
  </w:style>
  <w:style w:type="table" w:styleId="976">
    <w:name w:val="网格型"/>
    <w:basedOn w:val="916"/>
    <w:next w:val="976"/>
    <w:link w:val="905"/>
    <w:pPr>
      <w:jc w:val="both"/>
      <w:widowControl w:val="off"/>
    </w:pPr>
    <w:rPr>
      <w:rFonts w:ascii="Times New Roman" w:hAnsi="Times New Roman" w:eastAsia="宋体" w:cs="Times New Roman"/>
      <w:sz w:val="20"/>
      <w:szCs w:val="20"/>
    </w:rPr>
    <w:tblPr/>
  </w:style>
  <w:style w:type="character" w:styleId="977">
    <w:name w:val="要点"/>
    <w:next w:val="977"/>
    <w:link w:val="905"/>
    <w:qFormat/>
    <w:rPr>
      <w:b/>
      <w:bCs/>
    </w:rPr>
  </w:style>
  <w:style w:type="character" w:styleId="978">
    <w:name w:val="页码"/>
    <w:next w:val="978"/>
    <w:link w:val="905"/>
  </w:style>
  <w:style w:type="character" w:styleId="979">
    <w:name w:val="已访问的超链接"/>
    <w:next w:val="979"/>
    <w:link w:val="905"/>
    <w:rPr>
      <w:color w:val="800080"/>
      <w:u w:val="single"/>
    </w:rPr>
  </w:style>
  <w:style w:type="character" w:styleId="980">
    <w:name w:val="HTML 打字机"/>
    <w:next w:val="980"/>
    <w:link w:val="905"/>
    <w:uiPriority w:val="99"/>
    <w:rPr>
      <w:rFonts w:ascii="宋体" w:hAnsi="宋体" w:eastAsia="宋体" w:cs="宋体"/>
      <w:sz w:val="24"/>
      <w:szCs w:val="24"/>
    </w:rPr>
  </w:style>
  <w:style w:type="character" w:styleId="981">
    <w:name w:val="超链接"/>
    <w:next w:val="981"/>
    <w:link w:val="905"/>
    <w:rPr>
      <w:color w:val="0000ff"/>
      <w:u w:val="single"/>
    </w:rPr>
  </w:style>
  <w:style w:type="character" w:styleId="982">
    <w:name w:val="批注引用"/>
    <w:next w:val="982"/>
    <w:link w:val="905"/>
    <w:semiHidden/>
    <w:rPr>
      <w:sz w:val="21"/>
      <w:szCs w:val="21"/>
    </w:rPr>
  </w:style>
  <w:style w:type="character" w:styleId="983">
    <w:name w:val="font5 Char"/>
    <w:next w:val="983"/>
    <w:link w:val="905"/>
    <w:rPr>
      <w:rFonts w:ascii="宋体" w:hAnsi="宋体" w:eastAsia="宋体"/>
      <w:sz w:val="28"/>
      <w:szCs w:val="28"/>
      <w:lang w:val="en-US" w:eastAsia="zh-CN" w:bidi="ar-SA"/>
    </w:rPr>
  </w:style>
  <w:style w:type="character" w:styleId="984">
    <w:name w:val="二级目录 Char"/>
    <w:next w:val="984"/>
    <w:link w:val="985"/>
    <w:rPr>
      <w:b/>
      <w:sz w:val="30"/>
      <w:szCs w:val="28"/>
      <w:lang w:val="en-US" w:eastAsia="zh-CN" w:bidi="ar-SA"/>
    </w:rPr>
  </w:style>
  <w:style w:type="paragraph" w:styleId="985">
    <w:name w:val="二级目录"/>
    <w:next w:val="905"/>
    <w:link w:val="984"/>
    <w:pPr>
      <w:numPr>
        <w:ilvl w:val="0"/>
        <w:numId w:val="2"/>
      </w:numPr>
      <w:tabs>
        <w:tab w:val="left" w:pos="907" w:leader="none"/>
        <w:tab w:val="left" w:pos="1145" w:leader="none"/>
      </w:tabs>
      <w:outlineLvl w:val="1"/>
    </w:pPr>
    <w:rPr>
      <w:b/>
      <w:sz w:val="30"/>
      <w:szCs w:val="28"/>
      <w:lang w:val="en-US" w:eastAsia="zh-CN" w:bidi="ar-SA"/>
    </w:rPr>
  </w:style>
  <w:style w:type="character" w:styleId="986">
    <w:name w:val="列出段落 Char,Bullet List Char,numbered Char,FooterText Char,List Paragraph1 Char,Paragraphe de liste1 Char"/>
    <w:next w:val="986"/>
    <w:link w:val="987"/>
    <w:rPr>
      <w:rFonts w:ascii="Calibri" w:hAnsi="Calibri"/>
      <w:sz w:val="24"/>
      <w:szCs w:val="24"/>
      <w:lang w:eastAsia="en-US" w:bidi="en-US"/>
    </w:rPr>
  </w:style>
  <w:style w:type="paragraph" w:styleId="987">
    <w:name w:val="列出段落1"/>
    <w:basedOn w:val="905"/>
    <w:next w:val="987"/>
    <w:link w:val="986"/>
    <w:qFormat/>
    <w:pPr>
      <w:contextualSpacing/>
      <w:ind w:left="720"/>
      <w:jc w:val="left"/>
      <w:widowControl/>
    </w:pPr>
    <w:rPr>
      <w:rFonts w:ascii="Calibri" w:hAnsi="Calibri"/>
      <w:sz w:val="24"/>
      <w:szCs w:val="24"/>
      <w:lang w:val="en-US" w:eastAsia="en-US" w:bidi="en-US"/>
    </w:rPr>
  </w:style>
  <w:style w:type="paragraph" w:styleId="988">
    <w:name w:val="Body Text(ch)"/>
    <w:basedOn w:val="905"/>
    <w:next w:val="937"/>
    <w:link w:val="905"/>
    <w:pPr>
      <w:spacing w:after="120"/>
    </w:pPr>
    <w:rPr>
      <w:rFonts w:ascii="宋体" w:hAnsi="Arial"/>
      <w:bCs/>
      <w:iCs/>
      <w:szCs w:val="24"/>
    </w:rPr>
  </w:style>
  <w:style w:type="paragraph" w:styleId="989">
    <w:name w:val="xl27"/>
    <w:basedOn w:val="905"/>
    <w:next w:val="989"/>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0">
    <w:name w:val="xl26"/>
    <w:basedOn w:val="905"/>
    <w:next w:val="990"/>
    <w:link w:val="90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1">
    <w:name w:val="Char"/>
    <w:basedOn w:val="905"/>
    <w:next w:val="991"/>
    <w:link w:val="905"/>
    <w:pPr>
      <w:ind w:firstLine="200"/>
      <w:tabs>
        <w:tab w:val="left" w:pos="360" w:leader="none"/>
      </w:tabs>
    </w:pPr>
    <w:rPr>
      <w:sz w:val="28"/>
      <w:szCs w:val="30"/>
    </w:rPr>
  </w:style>
  <w:style w:type="paragraph" w:styleId="992">
    <w:name w:val=" Char"/>
    <w:basedOn w:val="931"/>
    <w:next w:val="992"/>
    <w:link w:val="905"/>
    <w:rPr>
      <w:rFonts w:ascii="Tahoma" w:hAnsi="Tahoma"/>
      <w:sz w:val="24"/>
      <w:szCs w:val="24"/>
    </w:rPr>
  </w:style>
  <w:style w:type="paragraph" w:styleId="993">
    <w:name w:val="普通正文"/>
    <w:basedOn w:val="905"/>
    <w:next w:val="993"/>
    <w:link w:val="905"/>
    <w:pPr>
      <w:ind w:firstLine="480"/>
      <w:jc w:val="left"/>
      <w:spacing w:before="120" w:after="120" w:line="360" w:lineRule="auto"/>
    </w:pPr>
    <w:rPr>
      <w:rFonts w:ascii="Arial" w:hAnsi="Arial"/>
      <w:sz w:val="24"/>
      <w:szCs w:val="24"/>
    </w:rPr>
  </w:style>
  <w:style w:type="paragraph" w:styleId="994">
    <w:name w:val="table_lines"/>
    <w:basedOn w:val="905"/>
    <w:next w:val="994"/>
    <w:link w:val="905"/>
    <w:pPr>
      <w:jc w:val="left"/>
      <w:widowControl/>
    </w:pPr>
    <w:rPr>
      <w:sz w:val="20"/>
      <w:szCs w:val="20"/>
      <w:lang w:val="de-DE" w:eastAsia="de-DE"/>
    </w:rPr>
  </w:style>
  <w:style w:type="paragraph" w:styleId="995">
    <w:name w:val="附录1"/>
    <w:next w:val="995"/>
    <w:link w:val="90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96">
    <w:name w:val="font7"/>
    <w:basedOn w:val="905"/>
    <w:next w:val="996"/>
    <w:link w:val="905"/>
    <w:pPr>
      <w:jc w:val="left"/>
      <w:spacing w:before="100" w:beforeAutospacing="1" w:after="100" w:afterAutospacing="1"/>
      <w:widowControl/>
    </w:pPr>
    <w:rPr>
      <w:rFonts w:hint="eastAsia" w:ascii="宋体" w:hAnsi="宋体"/>
      <w:sz w:val="18"/>
      <w:szCs w:val="18"/>
    </w:rPr>
  </w:style>
  <w:style w:type="paragraph" w:styleId="997">
    <w:name w:val=" Char Char Char Char"/>
    <w:basedOn w:val="931"/>
    <w:next w:val="997"/>
    <w:link w:val="905"/>
    <w:pPr>
      <w:spacing w:line="360" w:lineRule="auto"/>
    </w:pPr>
    <w:rPr>
      <w:rFonts w:ascii="Tahoma" w:hAnsi="Tahoma"/>
      <w:sz w:val="24"/>
      <w:szCs w:val="24"/>
    </w:rPr>
  </w:style>
  <w:style w:type="paragraph" w:styleId="998">
    <w:name w:val="列出段落"/>
    <w:basedOn w:val="905"/>
    <w:next w:val="998"/>
    <w:link w:val="905"/>
    <w:uiPriority w:val="99"/>
    <w:qFormat/>
    <w:pPr>
      <w:contextualSpacing/>
      <w:ind w:left="720"/>
      <w:jc w:val="left"/>
      <w:widowControl/>
    </w:pPr>
    <w:rPr>
      <w:rFonts w:ascii="Calibri" w:hAnsi="Calibri"/>
      <w:sz w:val="24"/>
      <w:szCs w:val="24"/>
      <w:lang w:eastAsia="en-US" w:bidi="en-US"/>
    </w:rPr>
  </w:style>
  <w:style w:type="paragraph" w:styleId="999">
    <w:name w:val="4"/>
    <w:basedOn w:val="905"/>
    <w:next w:val="961"/>
    <w:link w:val="905"/>
    <w:pPr>
      <w:ind w:firstLine="420"/>
      <w:spacing w:line="360" w:lineRule="auto"/>
    </w:pPr>
    <w:rPr>
      <w:color w:val="ff0000"/>
      <w:sz w:val="24"/>
      <w:szCs w:val="24"/>
    </w:rPr>
  </w:style>
  <w:style w:type="paragraph" w:styleId="1000">
    <w:name w:val="普通 (Web)"/>
    <w:basedOn w:val="905"/>
    <w:next w:val="1000"/>
    <w:link w:val="905"/>
    <w:pPr>
      <w:jc w:val="left"/>
      <w:spacing w:before="100" w:beforeAutospacing="1" w:after="100" w:afterAutospacing="1"/>
      <w:widowControl/>
    </w:pPr>
    <w:rPr>
      <w:rFonts w:ascii="宋体" w:hAnsi="宋体"/>
      <w:sz w:val="24"/>
      <w:szCs w:val="24"/>
    </w:rPr>
  </w:style>
  <w:style w:type="paragraph" w:styleId="1001">
    <w:name w:val=" Char Char Char Char Char Char Char Char Char Char"/>
    <w:basedOn w:val="905"/>
    <w:next w:val="1001"/>
    <w:link w:val="905"/>
    <w:pPr>
      <w:spacing w:line="360" w:lineRule="auto"/>
    </w:pPr>
    <w:rPr>
      <w:sz w:val="24"/>
      <w:szCs w:val="20"/>
    </w:rPr>
  </w:style>
  <w:style w:type="paragraph" w:styleId="1002">
    <w:name w:val="样式1"/>
    <w:basedOn w:val="905"/>
    <w:next w:val="1002"/>
    <w:link w:val="905"/>
    <w:pPr>
      <w:numPr>
        <w:ilvl w:val="0"/>
        <w:numId w:val="3"/>
      </w:numPr>
      <w:tabs>
        <w:tab w:val="left" w:pos="709" w:leader="none"/>
      </w:tabs>
    </w:pPr>
    <w:rPr>
      <w:rFonts w:ascii="宋体" w:hAnsi="宋体"/>
    </w:rPr>
  </w:style>
  <w:style w:type="paragraph" w:styleId="1003">
    <w:name w:val="font6"/>
    <w:basedOn w:val="905"/>
    <w:next w:val="1003"/>
    <w:link w:val="905"/>
    <w:pPr>
      <w:jc w:val="left"/>
      <w:spacing w:before="100" w:beforeAutospacing="1" w:after="100" w:afterAutospacing="1"/>
      <w:widowControl/>
    </w:pPr>
    <w:rPr>
      <w:rFonts w:hint="eastAsia" w:ascii="宋体" w:hAnsi="宋体"/>
      <w:sz w:val="28"/>
      <w:szCs w:val="28"/>
      <w:u w:val="single"/>
    </w:rPr>
  </w:style>
  <w:style w:type="paragraph" w:styleId="1004">
    <w:name w:val="xl25"/>
    <w:basedOn w:val="905"/>
    <w:next w:val="1004"/>
    <w:link w:val="90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name w:val="图标"/>
    <w:basedOn w:val="905"/>
    <w:next w:val="905"/>
    <w:link w:val="90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6">
    <w:name w:val="标题3"/>
    <w:basedOn w:val="905"/>
    <w:next w:val="905"/>
    <w:link w:val="905"/>
    <w:pPr>
      <w:ind w:firstLine="624"/>
      <w:spacing w:line="590" w:lineRule="atLeast"/>
    </w:pPr>
    <w:rPr>
      <w:rFonts w:ascii="方正黑体_GBK" w:eastAsia="方正黑体_GBK"/>
      <w:sz w:val="32"/>
      <w:szCs w:val="32"/>
    </w:rPr>
  </w:style>
  <w:style w:type="paragraph" w:styleId="1007">
    <w:name w:val="xl24"/>
    <w:basedOn w:val="905"/>
    <w:next w:val="1007"/>
    <w:link w:val="90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8">
    <w:name w:val="xl29"/>
    <w:basedOn w:val="905"/>
    <w:next w:val="1008"/>
    <w:link w:val="90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9">
    <w:name w:val="Char Char Char Char Char Char Char Char"/>
    <w:basedOn w:val="905"/>
    <w:next w:val="1009"/>
    <w:link w:val="905"/>
    <w:pPr>
      <w:jc w:val="left"/>
      <w:spacing w:after="160" w:line="240" w:lineRule="exact"/>
      <w:widowControl/>
    </w:pPr>
    <w:rPr>
      <w:rFonts w:ascii="Verdana" w:hAnsi="Verdana"/>
      <w:sz w:val="20"/>
      <w:szCs w:val="20"/>
      <w:lang w:eastAsia="en-US"/>
    </w:rPr>
  </w:style>
  <w:style w:type="paragraph" w:styleId="1010">
    <w:name w:val="xl28"/>
    <w:basedOn w:val="905"/>
    <w:next w:val="1010"/>
    <w:link w:val="90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1">
    <w:name w:val=" Char Char Char Char Char Char Char Char"/>
    <w:basedOn w:val="905"/>
    <w:next w:val="1011"/>
    <w:link w:val="905"/>
    <w:pPr>
      <w:jc w:val="left"/>
      <w:spacing w:after="160" w:line="240" w:lineRule="exact"/>
      <w:widowControl/>
    </w:pPr>
    <w:rPr>
      <w:rFonts w:ascii="Verdana" w:hAnsi="Verdana"/>
      <w:sz w:val="20"/>
      <w:szCs w:val="20"/>
      <w:lang w:eastAsia="en-US"/>
    </w:rPr>
  </w:style>
  <w:style w:type="paragraph" w:styleId="1012">
    <w:name w:val="xl30"/>
    <w:basedOn w:val="905"/>
    <w:next w:val="1012"/>
    <w:link w:val="905"/>
    <w:pPr>
      <w:jc w:val="center"/>
      <w:spacing w:before="100" w:beforeAutospacing="1" w:after="100" w:afterAutospacing="1"/>
      <w:widowControl/>
    </w:pPr>
    <w:rPr>
      <w:rFonts w:ascii="宋体" w:hAnsi="宋体"/>
      <w:b/>
      <w:bCs/>
      <w:sz w:val="36"/>
      <w:szCs w:val="36"/>
    </w:rPr>
  </w:style>
  <w:style w:type="paragraph" w:styleId="1013">
    <w:name w:val="Char Char Char Char"/>
    <w:basedOn w:val="931"/>
    <w:next w:val="1013"/>
    <w:link w:val="905"/>
    <w:pPr>
      <w:spacing w:line="360" w:lineRule="auto"/>
    </w:pPr>
    <w:rPr>
      <w:rFonts w:ascii="Tahoma" w:hAnsi="Tahoma"/>
      <w:sz w:val="24"/>
      <w:szCs w:val="24"/>
    </w:rPr>
  </w:style>
  <w:style w:type="paragraph" w:styleId="1014">
    <w:name w:val="table_1stline"/>
    <w:basedOn w:val="905"/>
    <w:next w:val="1014"/>
    <w:link w:val="905"/>
    <w:pPr>
      <w:jc w:val="left"/>
      <w:spacing w:before="120"/>
      <w:widowControl/>
    </w:pPr>
    <w:rPr>
      <w:bCs/>
      <w:sz w:val="20"/>
      <w:szCs w:val="20"/>
      <w:lang w:val="de-DE" w:eastAsia="de-DE"/>
    </w:rPr>
  </w:style>
  <w:style w:type="paragraph" w:styleId="1015">
    <w:name w:val="font5"/>
    <w:basedOn w:val="905"/>
    <w:next w:val="1015"/>
    <w:link w:val="905"/>
    <w:pPr>
      <w:jc w:val="left"/>
      <w:spacing w:before="100" w:beforeAutospacing="1" w:after="100" w:afterAutospacing="1"/>
      <w:widowControl/>
    </w:pPr>
    <w:rPr>
      <w:rFonts w:hint="eastAsia" w:ascii="宋体" w:hAnsi="宋体"/>
      <w:sz w:val="28"/>
      <w:szCs w:val="28"/>
    </w:rPr>
  </w:style>
  <w:style w:type="paragraph" w:styleId="1016">
    <w:name w:val="标题1"/>
    <w:basedOn w:val="905"/>
    <w:next w:val="905"/>
    <w:link w:val="905"/>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7">
    <w:name w:val="修订"/>
    <w:next w:val="1017"/>
    <w:link w:val="905"/>
    <w:uiPriority w:val="99"/>
    <w:semiHidden/>
    <w:rPr>
      <w:rFonts w:ascii="Times New Roman" w:hAnsi="Times New Roman"/>
      <w:sz w:val="21"/>
      <w:szCs w:val="21"/>
      <w:lang w:val="en-US" w:eastAsia="zh-CN" w:bidi="ar-SA"/>
    </w:rPr>
  </w:style>
  <w:style w:type="paragraph" w:styleId="1018">
    <w:name w:val="无间隔"/>
    <w:next w:val="1018"/>
    <w:link w:val="905"/>
    <w:uiPriority w:val="99"/>
    <w:qFormat/>
    <w:pPr>
      <w:jc w:val="both"/>
      <w:widowControl w:val="off"/>
    </w:pPr>
    <w:rPr>
      <w:rFonts w:ascii="Times New Roman" w:hAnsi="Times New Roman"/>
      <w:sz w:val="21"/>
      <w:szCs w:val="21"/>
      <w:lang w:val="en-US" w:eastAsia="zh-CN" w:bidi="ar-SA"/>
    </w:rPr>
  </w:style>
  <w:style w:type="paragraph" w:styleId="1019">
    <w:name w:val="普通文字"/>
    <w:basedOn w:val="905"/>
    <w:next w:val="905"/>
    <w:link w:val="905"/>
    <w:uiPriority w:val="99"/>
    <w:rPr>
      <w:rFonts w:ascii="宋体" w:hAnsi="Times New Roman" w:eastAsia="宋体" w:cs="Times New Roman"/>
      <w:sz w:val="24"/>
      <w:szCs w:val="20"/>
      <w:u w:val="none"/>
    </w:rPr>
  </w:style>
  <w:style w:type="paragraph" w:styleId="1020">
    <w:name w:val="目录 111"/>
    <w:basedOn w:val="905"/>
    <w:next w:val="905"/>
    <w:link w:val="905"/>
    <w:uiPriority w:val="39"/>
    <w:unhideWhenUsed/>
    <w:qFormat/>
    <w:pPr>
      <w:jc w:val="left"/>
      <w:spacing w:after="100" w:line="259" w:lineRule="auto"/>
      <w:widowControl/>
    </w:pPr>
    <w:rPr>
      <w:rFonts w:ascii="Calibri" w:hAnsi="Calibri" w:eastAsia="宋体"/>
      <w:sz w:val="22"/>
      <w:szCs w:val="22"/>
    </w:rPr>
  </w:style>
  <w:style w:type="paragraph" w:styleId="1021">
    <w:name w:val="HTML 预设格式"/>
    <w:basedOn w:val="905"/>
    <w:next w:val="1021"/>
    <w:link w:val="1022"/>
    <w:uiPriority w:val="99"/>
    <w:semiHidden/>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1022">
    <w:name w:val="HTML 预设格式 Char"/>
    <w:basedOn w:val="915"/>
    <w:next w:val="1022"/>
    <w:link w:val="1021"/>
    <w:uiPriority w:val="99"/>
    <w:semiHidden/>
    <w:rPr>
      <w:rFonts w:ascii="宋体" w:hAnsi="宋体" w:cs="宋体"/>
      <w:sz w:val="24"/>
      <w:szCs w:val="24"/>
    </w:rPr>
  </w:style>
  <w:style w:type="character" w:styleId="1023" w:default="1">
    <w:name w:val="Default Paragraph Font"/>
    <w:uiPriority w:val="1"/>
    <w:semiHidden/>
    <w:unhideWhenUsed/>
  </w:style>
  <w:style w:type="numbering" w:styleId="1024" w:default="1">
    <w:name w:val="No List"/>
    <w:uiPriority w:val="99"/>
    <w:semiHidden/>
    <w:unhideWhenUsed/>
  </w:style>
  <w:style w:type="table" w:styleId="10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李洋</cp:lastModifiedBy>
  <cp:revision>793</cp:revision>
  <dcterms:created xsi:type="dcterms:W3CDTF">2023-03-16T02:16:00Z</dcterms:created>
  <dcterms:modified xsi:type="dcterms:W3CDTF">2025-12-19T01:27:16Z</dcterms:modified>
  <cp:version>786432</cp:version>
</cp:coreProperties>
</file>